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webp" ContentType="image/png"/>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pStyle w:val="para3"/>
        <w:spacing/>
        <w:jc w:val="center"/>
        <w:rPr>
          <w:b w:val="0"/>
          <w:bCs w:val="0"/>
          <w:sz w:val="28"/>
          <w:szCs w:val="28"/>
        </w:rPr>
      </w:pPr>
      <w:r>
        <w:rPr>
          <w:noProof/>
        </w:rPr>
        <mc:AlternateContent>
          <mc:Choice Requires="wps">
            <w:drawing>
              <wp:anchor distT="0" distB="0" distL="0" distR="0" simplePos="0" relativeHeight="251658244" behindDoc="0" locked="0" layoutInCell="0" hidden="0" allowOverlap="1">
                <wp:simplePos x="0" y="0"/>
                <wp:positionH relativeFrom="column">
                  <wp:posOffset>5998210</wp:posOffset>
                </wp:positionH>
                <wp:positionV relativeFrom="paragraph">
                  <wp:posOffset>-333375</wp:posOffset>
                </wp:positionV>
                <wp:extent cx="286385" cy="1220470"/>
                <wp:effectExtent l="0" t="0" r="0" b="0"/>
                <wp:wrapNone/>
                <wp:docPr id="4" name="Shape2"/>
                <wp:cNvGraphicFramePr/>
                <a:graphic xmlns:a="http://schemas.openxmlformats.org/drawingml/2006/main">
                  <a:graphicData uri="http://schemas.microsoft.com/office/word/2010/wordprocessingShape">
                    <wps:wsp>
                      <wps:cNvSpPr>
                        <a:extLst>
                          <a:ext uri="sm">
                            <sm:smNativeData xmlns:sm="sm" val="SMDATA_14_4Zz2aBMAAAAlAAAAZAAAAA0AAAAAkAAAAEgAAACQAAAAS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BAAAAAAAAAP///w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AAAAAAoAAAAAAAAAAAAAAAAAAAAgAAAOYkAAAAAAAAAgAAAPP9///DAQAAggcAAAAAAACLKwAAkAQAACgAAAAIAAAAAQAAAAEAAAA="/>
                          </a:ext>
                        </a:extLst>
                      </wps:cNvSpPr>
                      <wps:spPr>
                        <a:xfrm>
                          <a:off x="0" y="0"/>
                          <a:ext cx="286385" cy="1220470"/>
                        </a:xfrm>
                        <a:prstGeom prst="rect">
                          <a:avLst/>
                        </a:prstGeom>
                        <a:solidFill>
                          <a:srgbClr val="FFFFFF"/>
                        </a:solidFill>
                        <a:ln>
                          <a:solidFill>
                            <a:srgbClr val="FFFFFF"/>
                          </a:solidFill>
                        </a:ln>
                      </wps:spPr>
                      <wps:bodyPr spcFirstLastPara="1" vertOverflow="clip" horzOverflow="clip" lIns="91440" tIns="45720" rIns="91440" bIns="45720" upright="1">
                        <a:noAutofit/>
                      </wps:bodyPr>
                    </wps:wsp>
                  </a:graphicData>
                </a:graphic>
              </wp:anchor>
            </w:drawing>
          </mc:Choice>
          <mc:Fallback>
            <w:pict>
              <v:rect id="Shape2" o:spid="_x0000_s1026" style="position:absolute;margin-left:472.30pt;margin-top:-26.25pt;width:22.55pt;height:96.10pt;z-index:251658244;mso-wrap-distance-left:0.00pt;mso-wrap-distance-top:0.00pt;mso-wrap-distance-right:0.00pt;mso-wrap-distance-bottom:0.00pt;mso-wrap-style:square" strokeweight="0.00pt" strokecolor="#ffffff" fillcolor="#ffffff" v:ext="SMDATA_14_4Zz2aBMAAAAlAAAAZAAAAA0AAAAAkAAAAEgAAACQAAAAS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BAAAAAAAAAP///w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AAAAAAAoAAAAAAAAAAAAAAAAAAAAgAAAOYkAAAAAAAAAgAAAPP9///DAQAAggcAAAAAAACLKwAAkAQAACgAAAAIAAAAAQAAAAEAAAA=">
                <v:fill color2="#000000" type="solid" angle="90"/>
                <w10:wrap type="none" anchorx="text" anchory="text"/>
              </v:rect>
            </w:pict>
          </mc:Fallback>
        </mc:AlternateContent>
      </w:r>
      <w:r>
        <w:rPr>
          <w:b w:val="0"/>
          <w:bCs w:val="0"/>
          <w:sz w:val="28"/>
          <w:szCs w:val="28"/>
        </w:rPr>
        <w:t>Міністерство освіти і науки України</w:t>
      </w:r>
    </w:p>
    <w:p>
      <w:pPr>
        <w:pStyle w:val="para4"/>
        <w:spacing w:line="240" w:lineRule="auto"/>
        <w:jc w:val="center"/>
        <w:rPr>
          <w:sz w:val="28"/>
          <w:szCs w:val="28"/>
        </w:rPr>
      </w:pPr>
      <w:r>
        <w:rPr>
          <w:sz w:val="28"/>
          <w:szCs w:val="28"/>
        </w:rPr>
        <w:t>Криворізький національний університет</w:t>
      </w:r>
    </w:p>
    <w:p>
      <w:pPr>
        <w:pStyle w:val="para4"/>
        <w:spacing w:line="240" w:lineRule="auto"/>
        <w:jc w:val="center"/>
        <w:rPr>
          <w:sz w:val="28"/>
          <w:szCs w:val="28"/>
        </w:rPr>
      </w:pPr>
      <w:r>
        <w:rPr>
          <w:sz w:val="28"/>
          <w:szCs w:val="28"/>
        </w:rPr>
        <w:t>Гірничо-металургійний факультет</w:t>
      </w:r>
    </w:p>
    <w:p>
      <w:pPr>
        <w:pStyle w:val="para4"/>
        <w:spacing w:line="240" w:lineRule="auto"/>
        <w:jc w:val="center"/>
        <w:rPr>
          <w:sz w:val="28"/>
          <w:szCs w:val="28"/>
        </w:rPr>
      </w:pPr>
      <w:r>
        <w:rPr>
          <w:sz w:val="28"/>
          <w:szCs w:val="28"/>
        </w:rPr>
        <w:t>Кафедра маркшейдерії</w:t>
      </w:r>
    </w:p>
    <w:p>
      <w:pPr>
        <w:pStyle w:val="para4"/>
        <w:spacing w:line="360" w:lineRule="auto"/>
        <w:rPr>
          <w:sz w:val="28"/>
          <w:szCs w:val="28"/>
        </w:rPr>
      </w:pPr>
      <w:r>
        <w:rPr>
          <w:sz w:val="28"/>
          <w:szCs w:val="28"/>
        </w:rPr>
      </w:r>
    </w:p>
    <w:p>
      <w:pPr>
        <w:pStyle w:val="para4"/>
        <w:spacing w:line="360" w:lineRule="auto"/>
        <w:rPr>
          <w:sz w:val="28"/>
          <w:szCs w:val="28"/>
        </w:rPr>
      </w:pPr>
      <w:r>
        <w:rPr>
          <w:sz w:val="28"/>
          <w:szCs w:val="28"/>
        </w:rPr>
      </w:r>
    </w:p>
    <w:p>
      <w:pPr>
        <w:pStyle w:val="para4"/>
        <w:spacing w:line="360" w:lineRule="auto"/>
        <w:rPr>
          <w:sz w:val="28"/>
          <w:szCs w:val="28"/>
        </w:rPr>
      </w:pPr>
      <w:r>
        <w:rPr>
          <w:sz w:val="28"/>
          <w:szCs w:val="28"/>
        </w:rPr>
      </w:r>
    </w:p>
    <w:p>
      <w:pPr>
        <w:pStyle w:val="para4"/>
        <w:spacing w:line="360" w:lineRule="auto"/>
        <w:rPr>
          <w:sz w:val="28"/>
          <w:szCs w:val="28"/>
        </w:rPr>
      </w:pPr>
      <w:r>
        <w:rPr>
          <w:sz w:val="28"/>
          <w:szCs w:val="28"/>
        </w:rPr>
      </w:r>
    </w:p>
    <w:p>
      <w:pPr>
        <w:pStyle w:val="para4"/>
        <w:spacing w:line="240" w:lineRule="auto"/>
        <w:jc w:val="center"/>
        <w:rPr>
          <w:b/>
          <w:bCs/>
          <w:sz w:val="28"/>
          <w:szCs w:val="28"/>
        </w:rPr>
      </w:pPr>
      <w:r>
        <w:rPr>
          <w:b/>
          <w:bCs/>
          <w:sz w:val="28"/>
          <w:szCs w:val="28"/>
        </w:rPr>
        <w:t>МАГІСТЕРСЬКА РОБОТА</w:t>
      </w:r>
    </w:p>
    <w:p>
      <w:pPr>
        <w:pStyle w:val="para4"/>
        <w:spacing w:line="240" w:lineRule="auto"/>
        <w:jc w:val="center"/>
        <w:rPr>
          <w:sz w:val="28"/>
          <w:szCs w:val="28"/>
        </w:rPr>
      </w:pPr>
      <w:r>
        <w:rPr>
          <w:sz w:val="28"/>
          <w:szCs w:val="28"/>
        </w:rPr>
        <w:t>на здобуття ступеня магістра за ОПП «Маркшейдерська справа»</w:t>
      </w:r>
    </w:p>
    <w:p>
      <w:pPr>
        <w:pStyle w:val="para4"/>
        <w:spacing w:line="240" w:lineRule="auto"/>
        <w:jc w:val="center"/>
        <w:rPr>
          <w:sz w:val="28"/>
          <w:szCs w:val="28"/>
        </w:rPr>
      </w:pPr>
      <w:r>
        <w:rPr>
          <w:sz w:val="28"/>
          <w:szCs w:val="28"/>
        </w:rPr>
        <w:t>спеціальності 184 Гірництво галузі знань 18 Виробництво та технології</w:t>
      </w:r>
    </w:p>
    <w:p>
      <w:pPr>
        <w:pStyle w:val="para4"/>
        <w:spacing w:line="240" w:lineRule="auto"/>
        <w:jc w:val="center"/>
        <w:rPr>
          <w:sz w:val="28"/>
          <w:szCs w:val="28"/>
        </w:rPr>
      </w:pPr>
      <w:r>
        <w:rPr>
          <w:sz w:val="28"/>
          <w:szCs w:val="28"/>
        </w:rPr>
        <w:t>на тему</w:t>
      </w:r>
    </w:p>
    <w:p>
      <w:pPr>
        <w:pStyle w:val="para4"/>
        <w:spacing w:line="240" w:lineRule="auto"/>
        <w:jc w:val="center"/>
        <w:rPr>
          <w:sz w:val="28"/>
          <w:szCs w:val="28"/>
        </w:rPr>
      </w:pPr>
      <w:r>
        <w:rPr>
          <w:sz w:val="28"/>
          <w:szCs w:val="28"/>
        </w:rPr>
      </w:r>
    </w:p>
    <w:p>
      <w:pPr>
        <w:pStyle w:val="para4"/>
        <w:spacing w:line="240" w:lineRule="auto"/>
        <w:jc w:val="center"/>
        <w:rPr>
          <w:sz w:val="28"/>
          <w:szCs w:val="28"/>
        </w:rPr>
      </w:pPr>
      <w:r>
        <w:rPr>
          <w:sz w:val="28"/>
          <w:szCs w:val="28"/>
        </w:rPr>
      </w:r>
    </w:p>
    <w:p>
      <w:pPr>
        <w:pStyle w:val="para4"/>
        <w:spacing w:line="240" w:lineRule="auto"/>
        <w:jc w:val="center"/>
        <w:rPr>
          <w:sz w:val="28"/>
          <w:szCs w:val="28"/>
        </w:rPr>
      </w:pPr>
      <w:r>
        <w:rPr>
          <w:sz w:val="28"/>
          <w:szCs w:val="28"/>
        </w:rPr>
      </w:r>
    </w:p>
    <w:p>
      <w:pPr>
        <w:spacing/>
        <w:jc w:val="center"/>
        <w:rPr>
          <w:b/>
          <w:bCs/>
          <w:sz w:val="28"/>
          <w:szCs w:val="28"/>
        </w:rPr>
      </w:pPr>
      <w:r>
        <w:rPr>
          <w:b/>
          <w:bCs/>
          <w:sz w:val="28"/>
          <w:szCs w:val="28"/>
        </w:rPr>
        <w:t>Сучасні методи маркшейдерського забезпечення шахтних споруд та устаткування.</w:t>
      </w:r>
    </w:p>
    <w:p>
      <w:pPr>
        <w:spacing/>
        <w:jc w:val="center"/>
        <w:rPr>
          <w:b/>
          <w:bCs/>
          <w:sz w:val="28"/>
          <w:szCs w:val="28"/>
        </w:rPr>
      </w:pPr>
      <w:r>
        <w:rPr>
          <w:b/>
          <w:bCs/>
          <w:sz w:val="28"/>
          <w:szCs w:val="28"/>
        </w:rPr>
      </w:r>
    </w:p>
    <w:p>
      <w:pPr>
        <w:spacing/>
        <w:jc w:val="center"/>
        <w:rPr>
          <w:b/>
          <w:bCs/>
          <w:sz w:val="28"/>
          <w:szCs w:val="28"/>
        </w:rPr>
      </w:pPr>
      <w:r>
        <w:rPr>
          <w:b/>
          <w:bCs/>
          <w:sz w:val="28"/>
          <w:szCs w:val="28"/>
        </w:rPr>
      </w:r>
    </w:p>
    <w:p>
      <w:pPr>
        <w:spacing/>
        <w:jc w:val="center"/>
        <w:rPr>
          <w:b/>
          <w:bCs/>
          <w:sz w:val="28"/>
          <w:szCs w:val="28"/>
        </w:rPr>
      </w:pPr>
      <w:r>
        <w:rPr>
          <w:b/>
          <w:bCs/>
          <w:sz w:val="28"/>
          <w:szCs w:val="28"/>
        </w:rPr>
      </w:r>
    </w:p>
    <w:p>
      <w:pPr>
        <w:spacing/>
        <w:jc w:val="center"/>
        <w:rPr>
          <w:b/>
          <w:bCs/>
          <w:sz w:val="28"/>
          <w:szCs w:val="28"/>
        </w:rPr>
      </w:pPr>
      <w:r>
        <w:rPr>
          <w:b/>
          <w:bCs/>
          <w:sz w:val="28"/>
          <w:szCs w:val="28"/>
        </w:rPr>
      </w:r>
    </w:p>
    <w:p>
      <w:pPr>
        <w:spacing/>
        <w:jc w:val="center"/>
        <w:rPr>
          <w:sz w:val="28"/>
          <w:szCs w:val="28"/>
        </w:rPr>
      </w:pPr>
      <w:r>
        <w:rPr>
          <w:sz w:val="28"/>
          <w:szCs w:val="28"/>
        </w:rPr>
      </w:r>
    </w:p>
    <w:p>
      <w:pPr>
        <w:pStyle w:val="para4"/>
        <w:spacing w:line="240" w:lineRule="auto"/>
        <w:rPr>
          <w:sz w:val="28"/>
          <w:szCs w:val="28"/>
        </w:rPr>
      </w:pPr>
      <w:r>
        <w:rPr>
          <w:noProof/>
        </w:rPr>
        <mc:AlternateContent>
          <mc:Choice Requires="wps">
            <w:drawing>
              <wp:anchor distT="0" distB="0" distL="0" distR="0" simplePos="0" relativeHeight="251658241" behindDoc="0" locked="0" layoutInCell="0" hidden="0" allowOverlap="1">
                <wp:simplePos x="0" y="0"/>
                <wp:positionH relativeFrom="column">
                  <wp:posOffset>2618105</wp:posOffset>
                </wp:positionH>
                <wp:positionV relativeFrom="paragraph">
                  <wp:posOffset>173990</wp:posOffset>
                </wp:positionV>
                <wp:extent cx="2159635" cy="8890"/>
                <wp:effectExtent l="0" t="0" r="0" b="0"/>
                <wp:wrapNone/>
                <wp:docPr id="1" name="Shape1"/>
                <wp:cNvGraphicFramePr/>
                <a:graphic xmlns:a="http://schemas.openxmlformats.org/drawingml/2006/main">
                  <a:graphicData uri="http://schemas.microsoft.com/office/word/2010/wordprocessingShape">
                    <wps:wsp>
                      <wps:cNvSpPr>
                        <a:extLst>
                          <a:ext uri="sm">
                            <sm:smNativeData xmlns:sm="sm" val="SMDATA_14_4Zz2aB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UAAAAAoAAAAAAAAAAAAAAAAAAAAgAAABsQAAAAAAAAAgAAABIBAABJDQAADgAAAAAAAADAFgAA4S4AACgAAAAIAAAAAQAAAAEAAAA="/>
                          </a:ext>
                        </a:extLst>
                      </wps:cNvSpPr>
                      <wps:spPr>
                        <a:xfrm flipH="1" flipV="1">
                          <a:off x="0" y="0"/>
                          <a:ext cx="2159635" cy="8890"/>
                        </a:xfrm>
                        <a:prstGeom prst="line">
                          <a:avLst/>
                        </a:prstGeom>
                        <a:noFill/>
                        <a:ln>
                          <a:solidFill>
                            <a:srgbClr val="000000"/>
                          </a:solidFill>
                        </a:ln>
                      </wps:spPr>
                      <wps:bodyPr spcFirstLastPara="1" vertOverflow="clip" horzOverflow="clip" lIns="91440" tIns="45720" rIns="91440" bIns="45720" upright="1">
                        <a:noAutofit/>
                      </wps:bodyPr>
                    </wps:wsp>
                  </a:graphicData>
                </a:graphic>
              </wp:anchor>
            </w:drawing>
          </mc:Choice>
          <mc:Fallback>
            <w:pict>
              <v:line id="Shape1" o:spid="_x0000_s1027" style="position:absolute;width:170.05pt;height:0.70pt;z-index:251658241;mso-wrap-distance-left:0.00pt;mso-wrap-distance-top:0.00pt;mso-wrap-distance-right:0.00pt;mso-wrap-distance-bottom:0.00pt;mso-wrap-style:square" from="376.20pt,14.40pt" to="206.15pt,13.70pt" strokeweight="0.00pt" filled="f" v:ext="SMDATA_14_4Zz2aB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UAAAAAoAAAAAAAAAAAAAAAAAAAAgAAABsQAAAAAAAAAgAAABIBAABJDQAADgAAAAAAAADAFgAA4S4AACgAAAAIAAAAAQAAAAEAAAA=">
                <w10:wrap type="none" anchorx="text" anchory="text"/>
              </v:line>
            </w:pict>
          </mc:Fallback>
        </mc:AlternateContent>
      </w:r>
      <w:r>
        <w:rPr>
          <w:sz w:val="28"/>
          <w:szCs w:val="28"/>
        </w:rPr>
        <w:t>Виконав магістрант групи ГГ-24м</w:t>
      </w:r>
      <w:r>
        <w:rPr>
          <w:sz w:val="28"/>
          <w:szCs w:val="28"/>
        </w:rPr>
        <w:t xml:space="preserve">                                                  </w:t>
      </w:r>
      <w:r>
        <w:rPr>
          <w:sz w:val="28"/>
          <w:szCs w:val="28"/>
        </w:rPr>
        <w:t>Демченко</w:t>
      </w:r>
      <w:r>
        <w:rPr>
          <w:sz w:val="28"/>
          <w:szCs w:val="28"/>
        </w:rPr>
        <w:t xml:space="preserve"> </w:t>
      </w:r>
      <w:r>
        <w:rPr>
          <w:sz w:val="28"/>
          <w:szCs w:val="28"/>
        </w:rPr>
        <w:t>О</w:t>
      </w:r>
      <w:r>
        <w:rPr>
          <w:sz w:val="28"/>
          <w:szCs w:val="28"/>
        </w:rPr>
        <w:t>.</w:t>
      </w:r>
      <w:r>
        <w:rPr>
          <w:sz w:val="28"/>
          <w:szCs w:val="28"/>
        </w:rPr>
        <w:t>А</w:t>
      </w:r>
      <w:r>
        <w:rPr>
          <w:sz w:val="28"/>
          <w:szCs w:val="28"/>
        </w:rPr>
        <w:t>.</w:t>
      </w:r>
      <w:r>
        <w:rPr>
          <w:sz w:val="28"/>
          <w:szCs w:val="28"/>
        </w:rPr>
      </w:r>
    </w:p>
    <w:p>
      <w:pPr>
        <w:pStyle w:val="para4"/>
        <w:spacing w:line="240" w:lineRule="auto"/>
        <w:rPr>
          <w:sz w:val="28"/>
          <w:szCs w:val="28"/>
        </w:rPr>
      </w:pPr>
      <w:r>
        <w:rPr>
          <w:noProof/>
        </w:rPr>
        <mc:AlternateContent>
          <mc:Choice Requires="wps">
            <w:drawing>
              <wp:anchor distT="0" distB="0" distL="0" distR="0" simplePos="0" relativeHeight="251658242" behindDoc="0" locked="0" layoutInCell="0" hidden="0" allowOverlap="1">
                <wp:simplePos x="0" y="0"/>
                <wp:positionH relativeFrom="column">
                  <wp:posOffset>2598420</wp:posOffset>
                </wp:positionH>
                <wp:positionV relativeFrom="paragraph">
                  <wp:posOffset>176530</wp:posOffset>
                </wp:positionV>
                <wp:extent cx="2159635" cy="8890"/>
                <wp:effectExtent l="0" t="0" r="0" b="0"/>
                <wp:wrapNone/>
                <wp:docPr id="2" name="Shape 3"/>
                <wp:cNvGraphicFramePr/>
                <a:graphic xmlns:a="http://schemas.openxmlformats.org/drawingml/2006/main">
                  <a:graphicData uri="http://schemas.microsoft.com/office/word/2010/wordprocessingShape">
                    <wps:wsp>
                      <wps:cNvSpPr>
                        <a:extLst>
                          <a:ext uri="sm">
                            <sm:smNativeData xmlns:sm="sm" val="SMDATA_14_4Zz2aB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YAAAAAoAAAAAAAAAAAAAAAAAAAAgAAAPwPAAAAAAAAAgAAABYBAABJDQAADgAAAAAAAAChFgAAtDAAACgAAAAIAAAAAQAAAAEAAAA="/>
                          </a:ext>
                        </a:extLst>
                      </wps:cNvSpPr>
                      <wps:spPr>
                        <a:xfrm flipH="1" flipV="1">
                          <a:off x="0" y="0"/>
                          <a:ext cx="2159635" cy="8890"/>
                        </a:xfrm>
                        <a:prstGeom prst="line">
                          <a:avLst/>
                        </a:prstGeom>
                        <a:noFill/>
                        <a:ln>
                          <a:solidFill>
                            <a:srgbClr val="000000"/>
                          </a:solidFill>
                        </a:ln>
                      </wps:spPr>
                      <wps:bodyPr spcFirstLastPara="1" vertOverflow="clip" horzOverflow="clip" lIns="91440" tIns="45720" rIns="91440" bIns="45720" upright="1">
                        <a:noAutofit/>
                      </wps:bodyPr>
                    </wps:wsp>
                  </a:graphicData>
                </a:graphic>
              </wp:anchor>
            </w:drawing>
          </mc:Choice>
          <mc:Fallback>
            <w:pict>
              <v:line id="Shape 3" o:spid="_x0000_s1028" style="position:absolute;width:170.05pt;height:0.70pt;z-index:251658242;mso-wrap-distance-left:0.00pt;mso-wrap-distance-top:0.00pt;mso-wrap-distance-right:0.00pt;mso-wrap-distance-bottom:0.00pt;mso-wrap-style:square" from="374.65pt,14.60pt" to="204.60pt,13.90pt" strokeweight="0.00pt" filled="f" v:ext="SMDATA_14_4Zz2aB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YAAAAAoAAAAAAAAAAAAAAAAAAAAgAAAPwPAAAAAAAAAgAAABYBAABJDQAADgAAAAAAAAChFgAAtDAAACgAAAAIAAAAAQAAAAEAAAA=">
                <w10:wrap type="none" anchorx="text" anchory="text"/>
              </v:line>
            </w:pict>
          </mc:Fallback>
        </mc:AlternateContent>
      </w:r>
      <w:r>
        <w:rPr>
          <w:sz w:val="28"/>
          <w:szCs w:val="28"/>
        </w:rPr>
        <w:t>Керівник магістерської роботи                                                        Переметчик А.В.</w:t>
      </w:r>
      <w:r>
        <w:rPr>
          <w:sz w:val="28"/>
          <w:szCs w:val="28"/>
        </w:rPr>
      </w:r>
    </w:p>
    <w:p>
      <w:pPr>
        <w:pStyle w:val="para4"/>
        <w:spacing w:line="240" w:lineRule="auto"/>
        <w:rPr>
          <w:sz w:val="28"/>
          <w:szCs w:val="28"/>
        </w:rPr>
      </w:pPr>
      <w:r>
        <w:rPr>
          <w:noProof/>
        </w:rPr>
        <mc:AlternateContent>
          <mc:Choice Requires="wps">
            <w:drawing>
              <wp:anchor distT="0" distB="0" distL="0" distR="0" simplePos="0" relativeHeight="251658243" behindDoc="0" locked="0" layoutInCell="0" hidden="0" allowOverlap="1">
                <wp:simplePos x="0" y="0"/>
                <wp:positionH relativeFrom="column">
                  <wp:posOffset>2578735</wp:posOffset>
                </wp:positionH>
                <wp:positionV relativeFrom="paragraph">
                  <wp:posOffset>172720</wp:posOffset>
                </wp:positionV>
                <wp:extent cx="2159635" cy="8890"/>
                <wp:effectExtent l="0" t="0" r="0" b="0"/>
                <wp:wrapNone/>
                <wp:docPr id="3" name="Shape 4"/>
                <wp:cNvGraphicFramePr/>
                <a:graphic xmlns:a="http://schemas.openxmlformats.org/drawingml/2006/main">
                  <a:graphicData uri="http://schemas.microsoft.com/office/word/2010/wordprocessingShape">
                    <wps:wsp>
                      <wps:cNvSpPr>
                        <a:extLst>
                          <a:ext uri="sm">
                            <sm:smNativeData xmlns:sm="sm" val="SMDATA_14_4Zz2aB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cAAAAAoAAAAAAAAAAAAAAAAAAAAgAAAN0PAAAAAAAAAgAAABABAABJDQAADgAAAAAAAACCFgAAfTIAACgAAAAIAAAAAQAAAAEAAAA="/>
                          </a:ext>
                        </a:extLst>
                      </wps:cNvSpPr>
                      <wps:spPr>
                        <a:xfrm flipH="1" flipV="1">
                          <a:off x="0" y="0"/>
                          <a:ext cx="2159635" cy="8890"/>
                        </a:xfrm>
                        <a:prstGeom prst="line">
                          <a:avLst/>
                        </a:prstGeom>
                        <a:noFill/>
                        <a:ln>
                          <a:solidFill>
                            <a:srgbClr val="000000"/>
                          </a:solidFill>
                        </a:ln>
                      </wps:spPr>
                      <wps:bodyPr spcFirstLastPara="1" vertOverflow="clip" horzOverflow="clip" lIns="91440" tIns="45720" rIns="91440" bIns="45720" upright="1">
                        <a:noAutofit/>
                      </wps:bodyPr>
                    </wps:wsp>
                  </a:graphicData>
                </a:graphic>
              </wp:anchor>
            </w:drawing>
          </mc:Choice>
          <mc:Fallback>
            <w:pict>
              <v:line id="Shape 4" o:spid="_x0000_s1029" style="position:absolute;width:170.05pt;height:0.70pt;z-index:251658243;mso-wrap-distance-left:0.00pt;mso-wrap-distance-top:0.00pt;mso-wrap-distance-right:0.00pt;mso-wrap-distance-bottom:0.00pt;mso-wrap-style:square" from="373.10pt,14.30pt" to="203.05pt,13.60pt" strokeweight="0.00pt" filled="f" v:ext="SMDATA_14_4Zz2aB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cAAAAAoAAAAAAAAAAAAAAAAAAAAgAAAN0PAAAAAAAAAgAAABABAABJDQAADgAAAAAAAACCFgAAfTIAACgAAAAIAAAAAQAAAAEAAAA=">
                <w10:wrap type="none" anchorx="text" anchory="text"/>
              </v:line>
            </w:pict>
          </mc:Fallback>
        </mc:AlternateContent>
      </w:r>
      <w:r>
        <w:rPr>
          <w:sz w:val="28"/>
          <w:szCs w:val="28"/>
        </w:rPr>
        <w:t>Завідувач кафедри маркшейдерії                                                     Долгіх О.В.</w:t>
      </w:r>
    </w:p>
    <w:p>
      <w:pPr>
        <w:pStyle w:val="para4"/>
        <w:spacing w:line="360" w:lineRule="auto"/>
        <w:rPr>
          <w:sz w:val="28"/>
          <w:szCs w:val="28"/>
        </w:rPr>
      </w:pPr>
      <w:r>
        <w:rPr>
          <w:sz w:val="28"/>
          <w:szCs w:val="28"/>
        </w:rPr>
      </w:r>
    </w:p>
    <w:p>
      <w:pPr>
        <w:pStyle w:val="para4"/>
        <w:spacing w:line="360" w:lineRule="auto"/>
        <w:rPr>
          <w:sz w:val="28"/>
          <w:szCs w:val="28"/>
        </w:rPr>
      </w:pPr>
      <w:r>
        <w:rPr>
          <w:sz w:val="28"/>
          <w:szCs w:val="28"/>
        </w:rPr>
      </w:r>
    </w:p>
    <w:p>
      <w:pPr>
        <w:pStyle w:val="para4"/>
        <w:spacing w:line="240" w:lineRule="auto"/>
        <w:jc w:val="center"/>
        <w:rPr>
          <w:sz w:val="28"/>
          <w:szCs w:val="28"/>
        </w:rPr>
      </w:pPr>
      <w:r>
        <w:rPr>
          <w:sz w:val="28"/>
          <w:szCs w:val="28"/>
        </w:rPr>
        <w:t>Кривий Ріг</w:t>
      </w:r>
    </w:p>
    <w:p>
      <w:pPr>
        <w:pStyle w:val="para4"/>
        <w:spacing w:line="240" w:lineRule="auto"/>
        <w:jc w:val="center"/>
        <w:rPr>
          <w:sz w:val="28"/>
          <w:szCs w:val="28"/>
        </w:rPr>
      </w:pPr>
      <w:r>
        <w:rPr>
          <w:sz w:val="28"/>
          <w:szCs w:val="28"/>
        </w:rPr>
        <w:t>2025</w:t>
      </w:r>
      <w:r>
        <w:rPr>
          <w:sz w:val="28"/>
          <w:szCs w:val="28"/>
        </w:rPr>
      </w:r>
    </w:p>
    <w:p>
      <w:pPr>
        <w:spacing w:line="360" w:lineRule="auto"/>
        <w:jc w:val="center"/>
        <w:rPr>
          <w:b/>
          <w:bCs/>
          <w:sz w:val="28"/>
          <w:szCs w:val="28"/>
        </w:rPr>
      </w:pPr>
      <w:r>
        <w:br w:type="page"/>
      </w:r>
      <w:r>
        <w:rPr>
          <w:b/>
          <w:bCs/>
          <w:sz w:val="28"/>
          <w:szCs w:val="28"/>
        </w:rPr>
        <w:t>Зміст</w:t>
      </w:r>
    </w:p>
    <w:p>
      <w:pPr>
        <w:spacing w:line="360" w:lineRule="auto"/>
        <w:jc w:val="both"/>
        <w:rPr>
          <w:sz w:val="28"/>
          <w:szCs w:val="28"/>
        </w:rPr>
      </w:pPr>
      <w:r>
        <w:rPr>
          <w:sz w:val="28"/>
          <w:szCs w:val="28"/>
        </w:rPr>
        <w:t>Вступ</w:t>
      </w:r>
    </w:p>
    <w:p>
      <w:pPr>
        <w:spacing w:line="360" w:lineRule="auto"/>
        <w:jc w:val="both"/>
        <w:rPr>
          <w:sz w:val="28"/>
          <w:szCs w:val="28"/>
        </w:rPr>
      </w:pPr>
      <w:r>
        <w:rPr>
          <w:sz w:val="28"/>
          <w:szCs w:val="28"/>
        </w:rPr>
        <w:t>Розділ 1. Актуальність питання в сучасному контексті роботи маркшейдерського забезпечення</w:t>
      </w:r>
    </w:p>
    <w:p>
      <w:pPr>
        <w:spacing w:line="360" w:lineRule="auto"/>
        <w:jc w:val="both"/>
        <w:rPr>
          <w:sz w:val="28"/>
          <w:szCs w:val="28"/>
        </w:rPr>
      </w:pPr>
      <w:r>
        <w:rPr>
          <w:sz w:val="28"/>
          <w:szCs w:val="28"/>
        </w:rPr>
        <w:t>1.1. Стан гірничодобувної промисловості України та роль маркшейдерії.</w:t>
      </w:r>
    </w:p>
    <w:p>
      <w:pPr>
        <w:spacing w:line="360" w:lineRule="auto"/>
        <w:jc w:val="both"/>
        <w:rPr>
          <w:sz w:val="28"/>
          <w:szCs w:val="28"/>
        </w:rPr>
      </w:pPr>
      <w:r>
        <w:rPr>
          <w:sz w:val="28"/>
          <w:szCs w:val="28"/>
        </w:rPr>
        <w:t>1.2. Проблеми маркшейдерського забезпечення на сучасних підприємствах.</w:t>
      </w:r>
    </w:p>
    <w:p>
      <w:pPr>
        <w:spacing w:line="360" w:lineRule="auto"/>
        <w:jc w:val="both"/>
        <w:rPr>
          <w:sz w:val="28"/>
          <w:szCs w:val="28"/>
        </w:rPr>
      </w:pPr>
      <w:r>
        <w:rPr>
          <w:sz w:val="28"/>
          <w:szCs w:val="28"/>
        </w:rPr>
        <w:t>1.3. Вплив цифровізації та автоматизації на маркшейдерські процеси.</w:t>
      </w:r>
    </w:p>
    <w:p>
      <w:pPr>
        <w:spacing w:line="360" w:lineRule="auto"/>
        <w:jc w:val="both"/>
        <w:rPr>
          <w:sz w:val="28"/>
          <w:szCs w:val="28"/>
        </w:rPr>
      </w:pPr>
      <w:r>
        <w:rPr>
          <w:sz w:val="28"/>
          <w:szCs w:val="28"/>
        </w:rPr>
        <w:t>1.4. Екологічні та безпекові аспекти маркшейдерських робіт.</w:t>
      </w:r>
    </w:p>
    <w:p>
      <w:pPr>
        <w:spacing w:line="360" w:lineRule="auto"/>
        <w:jc w:val="both"/>
        <w:rPr>
          <w:sz w:val="28"/>
          <w:szCs w:val="28"/>
          <w:lang w:val="en-us"/>
        </w:rPr>
      </w:pPr>
      <w:r>
        <w:rPr>
          <w:sz w:val="28"/>
          <w:szCs w:val="28"/>
          <w:lang w:val="en-us"/>
        </w:rPr>
        <w:t>1.5. Перспективи розвитку</w:t>
      </w:r>
      <w:r>
        <w:rPr>
          <w:sz w:val="28"/>
          <w:szCs w:val="28"/>
        </w:rPr>
        <w:t xml:space="preserve"> маркшейдерії </w:t>
      </w:r>
      <w:r>
        <w:rPr>
          <w:sz w:val="28"/>
          <w:szCs w:val="28"/>
          <w:lang w:val="en-us"/>
        </w:rPr>
        <w:t>в контексті сталого гірничодобувного виробництва</w:t>
      </w:r>
      <w:r>
        <w:rPr>
          <w:sz w:val="28"/>
          <w:szCs w:val="28"/>
          <w:lang w:val="en-us"/>
        </w:rPr>
      </w:r>
    </w:p>
    <w:p>
      <w:pPr>
        <w:spacing w:line="360" w:lineRule="auto"/>
        <w:jc w:val="both"/>
        <w:rPr>
          <w:sz w:val="28"/>
          <w:szCs w:val="28"/>
        </w:rPr>
      </w:pPr>
      <w:r>
        <w:rPr>
          <w:sz w:val="28"/>
          <w:szCs w:val="28"/>
        </w:rPr>
        <w:t>Розділ 2. Класичні методи маркшейдерських робіт</w:t>
      </w:r>
      <w:r>
        <w:rPr>
          <w:sz w:val="28"/>
          <w:szCs w:val="28"/>
        </w:rPr>
      </w:r>
    </w:p>
    <w:p>
      <w:pPr>
        <w:spacing w:line="360" w:lineRule="auto"/>
        <w:jc w:val="both"/>
        <w:rPr>
          <w:sz w:val="28"/>
          <w:szCs w:val="28"/>
        </w:rPr>
      </w:pPr>
      <w:r>
        <w:rPr>
          <w:sz w:val="28"/>
          <w:szCs w:val="28"/>
        </w:rPr>
        <w:t>2.1. Традиційні прилади та методи вимірювання в підземних умовах.</w:t>
      </w:r>
    </w:p>
    <w:p>
      <w:pPr>
        <w:spacing w:line="360" w:lineRule="auto"/>
        <w:jc w:val="both"/>
        <w:rPr>
          <w:sz w:val="28"/>
          <w:szCs w:val="28"/>
        </w:rPr>
      </w:pPr>
      <w:r>
        <w:rPr>
          <w:sz w:val="28"/>
          <w:szCs w:val="28"/>
        </w:rPr>
        <w:t>2.2. Технологія створення планіметричних та альтиметричних мереж у шахтах.</w:t>
      </w:r>
    </w:p>
    <w:p>
      <w:pPr>
        <w:spacing w:line="360" w:lineRule="auto"/>
        <w:jc w:val="both"/>
        <w:rPr>
          <w:sz w:val="28"/>
          <w:szCs w:val="28"/>
        </w:rPr>
      </w:pPr>
      <w:r>
        <w:rPr>
          <w:sz w:val="28"/>
          <w:szCs w:val="28"/>
        </w:rPr>
        <w:t>2.3. Контроль деформацій конструкцій та обладнання за допомогою традиційних методів.</w:t>
      </w:r>
    </w:p>
    <w:p>
      <w:pPr>
        <w:spacing w:line="360" w:lineRule="auto"/>
        <w:jc w:val="both"/>
        <w:rPr>
          <w:sz w:val="28"/>
          <w:szCs w:val="28"/>
        </w:rPr>
      </w:pPr>
      <w:r>
        <w:rPr>
          <w:sz w:val="28"/>
          <w:szCs w:val="28"/>
        </w:rPr>
        <w:t xml:space="preserve">2.4 </w:t>
      </w:r>
      <w:r>
        <w:rPr>
          <w:sz w:val="28"/>
          <w:szCs w:val="28"/>
          <w:lang w:val="en-us"/>
        </w:rPr>
        <w:t>Оцін</w:t>
      </w:r>
      <w:r>
        <w:rPr>
          <w:sz w:val="28"/>
          <w:szCs w:val="28"/>
        </w:rPr>
        <w:t>ка</w:t>
      </w:r>
      <w:r>
        <w:rPr>
          <w:sz w:val="28"/>
          <w:szCs w:val="28"/>
        </w:rPr>
        <w:t xml:space="preserve"> точності та контролю в класичних </w:t>
      </w:r>
      <w:r>
        <w:rPr>
          <w:sz w:val="28"/>
          <w:szCs w:val="28"/>
        </w:rPr>
        <w:t>маркшейдерських</w:t>
      </w:r>
      <w:r>
        <w:rPr>
          <w:sz w:val="28"/>
          <w:szCs w:val="28"/>
        </w:rPr>
        <w:t xml:space="preserve"> роботах.</w:t>
      </w:r>
      <w:r>
        <w:rPr>
          <w:sz w:val="28"/>
          <w:szCs w:val="28"/>
        </w:rPr>
      </w:r>
    </w:p>
    <w:p>
      <w:pPr>
        <w:spacing w:line="360" w:lineRule="auto"/>
        <w:jc w:val="both"/>
        <w:rPr>
          <w:sz w:val="28"/>
          <w:szCs w:val="28"/>
        </w:rPr>
      </w:pPr>
      <w:r>
        <w:rPr>
          <w:sz w:val="28"/>
          <w:szCs w:val="28"/>
        </w:rPr>
        <w:t>2.5</w:t>
      </w:r>
      <w:r>
        <w:rPr>
          <w:sz w:val="28"/>
          <w:szCs w:val="28"/>
        </w:rPr>
        <w:t>. Документування, обробка та нівелювання результатів.</w:t>
      </w:r>
      <w:r>
        <w:rPr>
          <w:sz w:val="28"/>
          <w:szCs w:val="28"/>
        </w:rPr>
      </w:r>
    </w:p>
    <w:p>
      <w:pPr>
        <w:spacing w:line="360" w:lineRule="auto"/>
        <w:jc w:val="both"/>
        <w:rPr>
          <w:sz w:val="28"/>
          <w:szCs w:val="28"/>
        </w:rPr>
      </w:pPr>
      <w:r>
        <w:rPr>
          <w:sz w:val="28"/>
          <w:szCs w:val="28"/>
        </w:rPr>
        <w:t>Розділ 3. Огляд</w:t>
      </w:r>
      <w:r>
        <w:rPr>
          <w:sz w:val="28"/>
          <w:szCs w:val="28"/>
        </w:rPr>
        <w:t xml:space="preserve"> сучасних підходів на основі наукових статей</w:t>
      </w:r>
      <w:r>
        <w:rPr>
          <w:sz w:val="28"/>
          <w:szCs w:val="28"/>
        </w:rPr>
      </w:r>
    </w:p>
    <w:p>
      <w:pPr>
        <w:spacing w:line="360" w:lineRule="auto"/>
        <w:jc w:val="both"/>
        <w:rPr>
          <w:sz w:val="28"/>
          <w:szCs w:val="28"/>
        </w:rPr>
      </w:pPr>
      <w:r>
        <w:rPr>
          <w:sz w:val="28"/>
          <w:szCs w:val="28"/>
        </w:rPr>
        <w:t>3.1. Мета та дослідження сучасних методів</w:t>
      </w:r>
      <w:r>
        <w:rPr>
          <w:sz w:val="28"/>
          <w:szCs w:val="28"/>
        </w:rPr>
      </w:r>
    </w:p>
    <w:p>
      <w:pPr>
        <w:spacing w:line="360" w:lineRule="auto"/>
        <w:jc w:val="both"/>
        <w:rPr>
          <w:sz w:val="28"/>
          <w:szCs w:val="28"/>
        </w:rPr>
      </w:pPr>
      <w:r>
        <w:rPr>
          <w:sz w:val="28"/>
          <w:szCs w:val="28"/>
        </w:rPr>
        <w:t>3.2. Сучасні методи дослідження просторових структур у шахтах</w:t>
      </w:r>
    </w:p>
    <w:p>
      <w:pPr>
        <w:spacing w:line="360" w:lineRule="auto"/>
        <w:jc w:val="both"/>
        <w:rPr>
          <w:sz w:val="28"/>
          <w:szCs w:val="28"/>
        </w:rPr>
      </w:pPr>
      <w:r>
        <w:rPr>
          <w:sz w:val="28"/>
          <w:szCs w:val="28"/>
        </w:rPr>
        <w:t>3.3. Застосування цифрових технологій</w:t>
      </w:r>
    </w:p>
    <w:p>
      <w:pPr>
        <w:spacing w:line="360" w:lineRule="auto"/>
        <w:jc w:val="both"/>
        <w:rPr>
          <w:sz w:val="28"/>
          <w:szCs w:val="28"/>
        </w:rPr>
      </w:pPr>
      <w:r>
        <w:rPr>
          <w:sz w:val="28"/>
          <w:szCs w:val="28"/>
        </w:rPr>
        <w:t>3.4. Практичне значення запропонованих підходів для маркшейдерії</w:t>
      </w:r>
      <w:r>
        <w:rPr>
          <w:sz w:val="28"/>
          <w:szCs w:val="28"/>
        </w:rPr>
      </w:r>
    </w:p>
    <w:p>
      <w:pPr>
        <w:spacing w:line="360" w:lineRule="auto"/>
        <w:jc w:val="both"/>
        <w:rPr>
          <w:sz w:val="28"/>
          <w:szCs w:val="28"/>
        </w:rPr>
      </w:pPr>
      <w:r>
        <w:rPr>
          <w:sz w:val="28"/>
          <w:szCs w:val="28"/>
        </w:rPr>
        <w:t>3.5. Порівняння</w:t>
      </w:r>
      <w:r>
        <w:rPr>
          <w:sz w:val="28"/>
          <w:szCs w:val="28"/>
        </w:rPr>
        <w:t xml:space="preserve"> класичних та сучасних методів</w:t>
      </w:r>
      <w:r>
        <w:rPr>
          <w:sz w:val="28"/>
          <w:szCs w:val="28"/>
        </w:rPr>
      </w:r>
    </w:p>
    <w:p>
      <w:pPr>
        <w:spacing w:line="360" w:lineRule="auto"/>
        <w:jc w:val="both"/>
        <w:rPr>
          <w:sz w:val="28"/>
          <w:szCs w:val="28"/>
        </w:rPr>
      </w:pPr>
      <w:r>
        <w:rPr>
          <w:sz w:val="28"/>
          <w:szCs w:val="28"/>
        </w:rPr>
        <w:t>Висновки</w:t>
        <w:br w:type="textWrapping"/>
        <w:t>Список використаних джерел</w:t>
      </w:r>
    </w:p>
    <w:p>
      <w:pPr>
        <w:spacing w:line="360" w:lineRule="auto"/>
        <w:jc w:val="both"/>
        <w:rPr>
          <w:sz w:val="28"/>
          <w:szCs w:val="28"/>
        </w:rPr>
      </w:pPr>
      <w:r>
        <w:rPr>
          <w:sz w:val="28"/>
          <w:szCs w:val="28"/>
        </w:rPr>
        <w:t>Додатки</w:t>
      </w:r>
    </w:p>
    <w:p>
      <w:pPr>
        <w:spacing w:line="360" w:lineRule="auto"/>
        <w:jc w:val="center"/>
        <w:rPr>
          <w:b/>
          <w:bCs/>
          <w:sz w:val="28"/>
          <w:szCs w:val="28"/>
        </w:rPr>
      </w:pPr>
      <w:r>
        <w:br w:type="page"/>
      </w:r>
      <w:r>
        <w:rPr>
          <w:b/>
          <w:bCs/>
          <w:sz w:val="28"/>
          <w:szCs w:val="28"/>
        </w:rPr>
        <w:t>Вступ</w:t>
      </w:r>
    </w:p>
    <w:p>
      <w:pPr>
        <w:spacing w:line="360" w:lineRule="auto"/>
        <w:jc w:val="both"/>
        <w:rPr>
          <w:sz w:val="28"/>
          <w:szCs w:val="28"/>
        </w:rPr>
      </w:pPr>
      <w:r>
        <w:rPr>
          <w:sz w:val="28"/>
          <w:szCs w:val="28"/>
        </w:rPr>
        <w:tab/>
        <w:t>У сучасних умовах розвитку гірничодобувної промисловості України маркшейдерія залишається одним із ключових елементів ефективної та безпечної роботи гірничодобувних підприємств. Протягом десятиліть ця галузь пройшла складний еволюційний процес - від традиційних методів геометричного нівелювання та полігонометрії до впровадження автоматизованих геодезичних систем та тривимірного цифрового моделювання [1]. У світлі підвищених вимог до точності, ефективності та екологічної безпеки в гірничих роботах роль маркшейдерії набула нового значення: сьогодні це не лише інженерна вимірювальна система, а й інформаційно-аналітична система управління простором та забезпечення безпеки підземних споруд [4].</w:t>
      </w:r>
    </w:p>
    <w:p>
      <w:pPr>
        <w:spacing w:line="360" w:lineRule="auto"/>
        <w:jc w:val="both"/>
        <w:rPr>
          <w:sz w:val="28"/>
          <w:szCs w:val="28"/>
        </w:rPr>
      </w:pPr>
      <w:r>
        <w:rPr>
          <w:sz w:val="28"/>
          <w:szCs w:val="28"/>
        </w:rPr>
        <w:tab/>
        <w:t>Актуальність дослідження визначається кількома факторами. По-перше, технологічне навантаження на промислові регіони, зокрема Криворізький залізорудний басейн, вимагає постійного моніторингу стану гірничих виробок, гірничого обладнання та інфраструктури [5]. По-друге, швидкий розвиток цифрових технологій, систем супутникового позиціонування, лазерного сканування, фотограмметрії та штучного інтелекту відкриває нові можливості для створення інтегрованих систем моніторингу та моделювання геометрії гірничих споруд [7]. По-третє, впровадження міжнародних стандартів безпеки та сталого розвитку вимагає адаптації українських підходів до світової практики маркшейдерських робіт [8].</w:t>
      </w:r>
    </w:p>
    <w:p>
      <w:pPr>
        <w:spacing w:line="360" w:lineRule="auto"/>
        <w:jc w:val="both"/>
        <w:rPr>
          <w:sz w:val="28"/>
          <w:szCs w:val="28"/>
        </w:rPr>
      </w:pPr>
      <w:r>
        <w:rPr>
          <w:sz w:val="28"/>
          <w:szCs w:val="28"/>
        </w:rPr>
        <w:tab/>
        <w:t>Історично геодезичні роботи базувалися на класичних методах, які протягом тривалого часу забезпечували необхідну точність і надійність робіт у складних гірничо-геологічних умовах. У минулому основними інструментами, що використовувалися для вимірювань, були теодоліти, рівні, рейки, сталеві стрічки та підвісні системи для орієнтування. Хоча ці інструменти були технічно обмеженими, вони дозволяли виконувати точні геометричні побудови, визначати параметри гірничих виробок та позиціонувати обладнання з допустимими для того часу допусками [11]. Класичні схеми побудови планіметричних мереж - полігонометрія, тріангуляція та трилатерація - лягли в основу точного позиціонування в підземних просторах [13].</w:t>
      </w:r>
    </w:p>
    <w:p>
      <w:pPr>
        <w:spacing w:line="360" w:lineRule="auto"/>
        <w:jc w:val="both"/>
        <w:rPr>
          <w:sz w:val="28"/>
          <w:szCs w:val="28"/>
        </w:rPr>
      </w:pPr>
      <w:r>
        <w:rPr>
          <w:sz w:val="28"/>
          <w:szCs w:val="28"/>
        </w:rPr>
        <w:tab/>
        <w:t>З розвитком гірничої справи та поглибленням стволів геодезисти стикалися з новими викликами: накопиченням похибок під час передачі координат углиб шахти, а також впливом температури, вібрацій та тиску на точність вимірювань. Це стимулювало пошук інноваційних методів, включаючи оптико-електронні прилади, автоматизовані теодоліти та комп'ютеризовану обробку даних [15]. У другій половині 20-го століття були впроваджені перші цифрові системи обробки результатів полігонометрії, що проклало шлях для створення електронних геодезичних мереж [17]. Сучасні рішення на основі лазерного сканування та супутникової мережі</w:t>
      </w:r>
      <w:r>
        <w:rPr>
          <w:sz w:val="28"/>
          <w:szCs w:val="28"/>
        </w:rPr>
        <w:t xml:space="preserve"> дозволяють створювати високоточні 3D-моделі гірничих виробок та контролювати їх деформації в режимі реального часу [19].</w:t>
      </w:r>
      <w:r>
        <w:rPr>
          <w:sz w:val="28"/>
          <w:szCs w:val="28"/>
        </w:rPr>
      </w:r>
    </w:p>
    <w:p>
      <w:pPr>
        <w:spacing w:line="360" w:lineRule="auto"/>
        <w:jc w:val="both"/>
        <w:rPr>
          <w:sz w:val="28"/>
          <w:szCs w:val="28"/>
        </w:rPr>
      </w:pPr>
      <w:r>
        <w:rPr>
          <w:sz w:val="28"/>
          <w:szCs w:val="28"/>
        </w:rPr>
        <w:tab/>
        <w:t>Значний внесок у розвиток маркшейдерського забезпечення зробили українські наукові школи, зокрема Криворізький технічний університет, Житомирський політехнічний університет та Національний гірничий університет у Дніпрі [21]. У Кривбасі сформувалася одна з найпотужніших систем маркшейдерського контролю в Європі, яка охоплює десятки залізорудних шахт та кар'єрів [22]. Саме тут вперше були випробувані методи глибокого нівелювання для шахт глибиною понад 1300 м, розроблені системи точного позиціонування обладнання під час буровибухових робіт, а також впроваджені технології 3D-сканування для контролю стійкості гірничих виробок [24].</w:t>
      </w:r>
    </w:p>
    <w:p>
      <w:pPr>
        <w:spacing w:line="360" w:lineRule="auto"/>
        <w:jc w:val="both"/>
        <w:rPr>
          <w:sz w:val="28"/>
          <w:szCs w:val="28"/>
        </w:rPr>
      </w:pPr>
      <w:r>
        <w:rPr>
          <w:sz w:val="28"/>
          <w:szCs w:val="28"/>
        </w:rPr>
        <w:tab/>
        <w:t>Подібну тенденцію можна спостерігати і у світовій практиці: перехід від традиційних геометричних методів до цифрового маркшейдерства. Дослідження, проведені у провідних наукових центрах Європи та Азії, показують, що поєднання супутникових вимірювань, мобільного лазерного сканування та глибинної фотограмметрії підвищує точність до 2–3 мм, одночасно скорочуючи час спостереження в кілька разів [27]. Це відповідає загальній тенденції розвитку концепції «розумної шахти» (Smart Mine), яка передбачає інтеграцію маркшейдерських,</w:t>
      </w:r>
      <w:r>
        <w:rPr>
          <w:sz w:val="28"/>
          <w:szCs w:val="28"/>
        </w:rPr>
        <w:t xml:space="preserve"> геодезичних, геотехнічних та екологічних систем моніторингу в єдине інформаційне середовище [29].</w:t>
      </w:r>
      <w:r>
        <w:rPr>
          <w:sz w:val="28"/>
          <w:szCs w:val="28"/>
        </w:rPr>
      </w:r>
    </w:p>
    <w:p>
      <w:pPr>
        <w:spacing w:line="360" w:lineRule="auto"/>
        <w:jc w:val="both"/>
        <w:rPr>
          <w:sz w:val="28"/>
          <w:szCs w:val="28"/>
        </w:rPr>
      </w:pPr>
      <w:r>
        <w:rPr>
          <w:sz w:val="28"/>
          <w:szCs w:val="28"/>
        </w:rPr>
        <w:tab/>
        <w:t>Тим не менш, багато українських підприємств досі використовують застаріле обладнання, що ускладнює забезпечення високої точності та швидкості обробки даних. Відсутність єдиної цифрової інфраструктури призводить до дублювання інформації, труднощів у контролі деформацій та обмежень у плануванні виробництва [30]. Саме тому систематичне вивчення сучасних методів маркшейдерських робіт є важливим як у теоретичному, так і в практичному плануванні [31].</w:t>
      </w:r>
    </w:p>
    <w:p>
      <w:pPr>
        <w:spacing w:line="360" w:lineRule="auto"/>
        <w:jc w:val="both"/>
        <w:rPr>
          <w:sz w:val="28"/>
          <w:szCs w:val="28"/>
        </w:rPr>
      </w:pPr>
      <w:r>
        <w:rPr>
          <w:sz w:val="28"/>
          <w:szCs w:val="28"/>
        </w:rPr>
        <w:tab/>
        <w:t>Метою цієї магістерської роботи є аналіз сучасних методів маркшейдерських робіт шахтних споруд та обладнання, оцінка їх переваг та недоліків порівняно з класичними підходами, а також визначення перспектив впровадження інноваційних технологій у практику гірничодобувних підприємств України [33]. Для досягнення цієї мети поставлені такі основні завдання: проведення огляду класичних методів маркшейдерських робіт та їх технічних особливостей; аналіз сучасних підходів до вимірювань, моделювання та моніторингу стану шахтних споруд; оцінка ефективності цифрових технологій у підвищенні точності та безпеки маркшейдерських робіт; розробка рекомендацій щодо інтеграції новітніх технологій у маркшейдерське забезпечення підприємств Кривбасу [36].</w:t>
      </w:r>
    </w:p>
    <w:p>
      <w:pPr>
        <w:spacing w:line="360" w:lineRule="auto"/>
        <w:jc w:val="both"/>
        <w:rPr>
          <w:sz w:val="28"/>
          <w:szCs w:val="28"/>
        </w:rPr>
      </w:pPr>
      <w:r>
        <w:rPr>
          <w:sz w:val="28"/>
          <w:szCs w:val="28"/>
        </w:rPr>
        <w:tab/>
        <w:t>Практичне значення отриманих результатів полягає в можливості використання представлених підходів для підвищення ефективності контролю стійкості шахтних споруд, оптимізації планіметричних мереж та зниження витрат на утримання вимірювального обладнання [40]. Результати дослідження можуть бути впроваджені на підприємствах Кривбасу, Донбасу та інших промислових регіонів України, де проводяться глибокі гірничі роботи, а також використовуватися в навчальному процесі вищих навчальних закладів, що спеціалізуються на гірничій справі [41].</w:t>
      </w:r>
    </w:p>
    <w:p>
      <w:pPr>
        <w:spacing w:line="360" w:lineRule="auto"/>
        <w:jc w:val="both"/>
        <w:rPr>
          <w:sz w:val="28"/>
          <w:szCs w:val="28"/>
        </w:rPr>
      </w:pPr>
      <w:r>
        <w:rPr>
          <w:sz w:val="28"/>
          <w:szCs w:val="28"/>
        </w:rPr>
        <w:tab/>
        <w:t>Структура магістерської роботи визначається логікою проведеного дослідження. Робота складається зі вступу, трьох основних розділів, висновків, списку використаної літератури та додатків. У першому розділі розглядається актуальність теми та стан розвитку маркшейдерського забезпечення в Україні та світі. У другому розділі наведено опис класичних методів маркшейдерських робіт та технічних засобів, що використовувалися на різних етапах розвитку галузі. Третій розділ присвячено аналізу сучасних технологій, представлених у наукових дослідженнях та практичних впровадженнях. Робота завершується коротким викладом результатів дослідження та перспективами розвитку маркшейдерської науки та практики [50].</w:t>
      </w:r>
    </w:p>
    <w:p>
      <w:pPr>
        <w:spacing w:line="360" w:lineRule="auto"/>
        <w:jc w:val="center"/>
        <w:rPr>
          <w:b/>
          <w:bCs/>
          <w:sz w:val="28"/>
          <w:szCs w:val="28"/>
        </w:rPr>
      </w:pPr>
      <w:r>
        <w:br w:type="page"/>
      </w:r>
      <w:r>
        <w:rPr>
          <w:b/>
          <w:bCs/>
          <w:sz w:val="28"/>
          <w:szCs w:val="28"/>
        </w:rPr>
        <w:t>1. Актуальність питання в сучасному контексті роботи маркшейдерського забезпечення</w:t>
      </w:r>
    </w:p>
    <w:p>
      <w:pPr>
        <w:spacing w:line="360" w:lineRule="auto"/>
        <w:jc w:val="center"/>
        <w:rPr>
          <w:b/>
          <w:bCs/>
          <w:sz w:val="28"/>
          <w:szCs w:val="28"/>
        </w:rPr>
      </w:pPr>
      <w:r>
        <w:rPr>
          <w:b/>
          <w:bCs/>
          <w:sz w:val="28"/>
          <w:szCs w:val="28"/>
        </w:rPr>
        <w:t>1.1. Стан гірничодобувної промисловості України та роль маркшейдерії.</w:t>
      </w:r>
    </w:p>
    <w:p>
      <w:pPr>
        <w:spacing w:line="360" w:lineRule="auto"/>
        <w:jc w:val="both"/>
        <w:rPr>
          <w:sz w:val="28"/>
          <w:szCs w:val="28"/>
        </w:rPr>
      </w:pPr>
      <w:r>
        <w:rPr>
          <w:sz w:val="28"/>
          <w:szCs w:val="28"/>
        </w:rPr>
        <w:tab/>
        <w:t>Гірничодобувна промисловість в Україні є одним із ключових секторів країни, що забезпечує металургійну, енергетичну та будівельну промисловість стратегічною сировиною. Основу видобутку забезпечують залізорудні підприємства Криворізького басейну, вугільні шахти Донбасу, а також родовища марганцево-урану Нікопольської та Кіровоградської областей [1, 2]. Виснаження легкодоступних запасів, складність гірничо-геологічних умов, збільшення глибини видобутку вимагають постійного вдосконалення системи маркшейдерського та картографічного дослідження [3].</w:t>
      </w:r>
    </w:p>
    <w:p>
      <w:pPr>
        <w:spacing w:line="360" w:lineRule="auto"/>
        <w:jc w:val="both"/>
        <w:rPr>
          <w:sz w:val="28"/>
          <w:szCs w:val="28"/>
        </w:rPr>
      </w:pPr>
      <w:r>
        <w:rPr>
          <w:sz w:val="28"/>
          <w:szCs w:val="28"/>
        </w:rPr>
        <w:tab/>
        <w:t>Маркейшери є невід'ємною частиною всієї гірничої діяльності, оскільки забезпечують точне просторове розташування гірничих виробок, контролюють стійкість гірського масиву, забезпечують безпечну експлуатацію обладнання та планують роботи на всіх етапах виробничого циклу [4, 5]. Сучасний маркшейдер – це не лише спеціаліст з вимірювань, а й аналітик, який обробляє великі обсяги просторових даних та інтегрує геодезичні, геотехнічні та геоінформаційні технології в єдину цифрову модель шахтного простору.</w:t>
      </w:r>
    </w:p>
    <w:p>
      <w:pPr>
        <w:spacing w:line="360" w:lineRule="auto"/>
        <w:jc w:val="both"/>
        <w:rPr>
          <w:sz w:val="28"/>
          <w:szCs w:val="28"/>
        </w:rPr>
      </w:pPr>
      <w:r>
        <w:rPr>
          <w:sz w:val="28"/>
          <w:szCs w:val="28"/>
        </w:rPr>
        <w:tab/>
        <w:t>Протягом останніх кількох десятиліть спостерігається тенденція до збільшення складності гірничих робіт та підвищення вимог до точності визначення координат. Зі збільшенням глибини залягання рудних покладів, зокрема на шахтах Кривбасу, які перевищують 1300 м, різко зростає ризик деформацій гірських порід та зсувів у гірничих виробках. Саме тому точність побудови планіметричних та альтиметричних мереж, контроль деформацій та прогнозування поведінки гірського масиву стають основними завданнями маркшейдерських служб [8].</w:t>
      </w:r>
    </w:p>
    <w:p>
      <w:pPr>
        <w:spacing w:line="360" w:lineRule="auto"/>
        <w:jc w:val="both"/>
        <w:rPr>
          <w:sz w:val="28"/>
          <w:szCs w:val="28"/>
        </w:rPr>
      </w:pPr>
      <w:r>
        <w:rPr>
          <w:sz w:val="28"/>
          <w:szCs w:val="28"/>
        </w:rPr>
        <w:tab/>
        <w:t>Традиційно українська школа маркшейдерії спиралася на фундаментальні дослідження українських вчених, зокрема на праці Антипка, Бизова, Баки, Кириченка та інших, які розробили класичні методи полігонометрії, тріангуляції та нівелювання в підземних умовах. Ці роботи встановили вимоги до точності вимірювань, методи визначення деформаційних процесів та порядок встановлення геодезичних пунктів у глибоких виробках. Ці підходи склали методологічну основу сучасної маркшейдерської справи на шахтах [10].</w:t>
      </w:r>
    </w:p>
    <w:p>
      <w:pPr>
        <w:spacing w:line="360" w:lineRule="auto"/>
        <w:jc w:val="both"/>
        <w:rPr>
          <w:sz w:val="28"/>
          <w:szCs w:val="28"/>
        </w:rPr>
      </w:pPr>
      <w:r>
        <w:rPr>
          <w:sz w:val="28"/>
          <w:szCs w:val="28"/>
        </w:rPr>
        <w:tab/>
        <w:t>Водночас, світові тенденції розвитку гірничих технологій вимагають інтеграції класичних методів з цифровими. У Європі та Азії широко використовуються автоматизовані системи моніторингу розташування гірничих споруд на основі ГНСС, лазерного сканування та цифрової фотограмметрії [11]. Українські підприємства, зокрема в Криворізькому басейні, поступово впроваджують ці технології, створюючи власні геоінформаційні бази даних для моделювання підземного простору. Наприклад, низка шахт, що експлуатуються Кривбасрайлжурурудом, розробили тривимірні системи моніторингу виробок, які дозволяють прогнозувати зсуви та контролювати обладнання в режимі реального часу [14].</w:t>
      </w:r>
    </w:p>
    <w:p>
      <w:pPr>
        <w:spacing w:line="360" w:lineRule="auto"/>
        <w:jc w:val="both"/>
        <w:rPr>
          <w:sz w:val="28"/>
          <w:szCs w:val="28"/>
        </w:rPr>
      </w:pPr>
      <w:r>
        <w:rPr>
          <w:sz w:val="28"/>
          <w:szCs w:val="28"/>
        </w:rPr>
        <w:tab/>
        <w:t>Окрім виробничого аспекту, геодезична робота має значне екологічне та соціальне значення. В умовах тривалого гірничого виробництва та накопичення технологічних деформацій вона забезпечує контроль за осіданням земної поверхні, станом водоносних горизонтів, відвалів та шлакосховищ [15]. Це особливо важливо для Кривбасу, де видобуток ведеться в межах густонаселених районів і навіть незначні деформації можуть призвести до пошкодження інфраструктури. Спостереження Маркішерді дозволяють вчасно виявляти небезпечні тенденції, що дає змогу розробляти стабілізаційні заходи та запобігати техногенним аваріям [16].</w:t>
      </w:r>
    </w:p>
    <w:p>
      <w:pPr>
        <w:spacing w:line="360" w:lineRule="auto"/>
        <w:jc w:val="both"/>
        <w:rPr>
          <w:sz w:val="28"/>
          <w:szCs w:val="28"/>
        </w:rPr>
      </w:pPr>
      <w:r>
        <w:rPr>
          <w:sz w:val="28"/>
          <w:szCs w:val="28"/>
        </w:rPr>
        <w:tab/>
        <w:t xml:space="preserve">Загалом, стан гірничодобувної промисловості України сьогодні характеризується переходом від традиційних підходів до комплексного впровадження сучасних технологій контролю, аналізу та прогнозування процесів у гірничих виробках. Роль маркшейдерських робіт зростає від допоміжної до системоутворюючої: вони забезпечують точність усіх етапів гірничого виробництва — від проектування до закриття шахти, інтегруючи класичні методи з найсучаснішими цифровими рішеннями [18]. На рис 1.1 гарно показано взаємодію структури виробництва </w:t>
      </w:r>
      <w:r>
        <w:rPr>
          <w:sz w:val="28"/>
          <w:szCs w:val="28"/>
          <w:lang w:val="en-us"/>
        </w:rPr>
        <w:t>[51].</w:t>
      </w:r>
      <w:r>
        <w:rPr>
          <w:sz w:val="28"/>
          <w:szCs w:val="28"/>
        </w:rPr>
      </w:r>
    </w:p>
    <w:p>
      <w:pPr>
        <w:spacing w:line="360" w:lineRule="auto"/>
        <w:jc w:val="center"/>
        <w:rPr>
          <w:sz w:val="28"/>
          <w:szCs w:val="28"/>
        </w:rPr>
      </w:pPr>
      <w:r>
        <w:rPr>
          <w:noProof/>
        </w:rPr>
        <w:drawing>
          <wp:anchor distT="0" distB="0" distL="0" distR="0" simplePos="0" relativeHeight="251658245" behindDoc="0" locked="0" layoutInCell="0" hidden="0" allowOverlap="1">
            <wp:simplePos x="0" y="0"/>
            <wp:positionH relativeFrom="column">
              <wp:align>center</wp:align>
            </wp:positionH>
            <wp:positionV relativeFrom="paragraph">
              <wp:posOffset>635</wp:posOffset>
            </wp:positionV>
            <wp:extent cx="6120130" cy="4031615"/>
            <wp:effectExtent l="0" t="0" r="0" b="0"/>
            <wp:wrapSquare wrapText="largest"/>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a:extLst>
                        <a:ext uri="sm">
                          <sm:smNativeData xmlns:sm="sm" val="SMDATA_16_4Zz2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GAAAAAKIAAAMAAAAAAAAAAgAAAAIAAAAAAAAAAAAAAAIAAAABAAAApiUAAM0YAAAIAAAApQYAAGgKAAAoAAAACAAAAAEAAAABAAAA"/>
                        </a:ext>
                      </a:extLst>
                    </pic:cNvPicPr>
                  </pic:nvPicPr>
                  <pic:blipFill>
                    <a:blip r:embed="rId8"/>
                    <a:stretch>
                      <a:fillRect/>
                    </a:stretch>
                  </pic:blipFill>
                  <pic:spPr>
                    <a:xfrm>
                      <a:off x="0" y="0"/>
                      <a:ext cx="6120130" cy="4031615"/>
                    </a:xfrm>
                    <a:prstGeom prst="rect">
                      <a:avLst/>
                    </a:prstGeom>
                    <a:noFill/>
                    <a:ln w="9525">
                      <a:noFill/>
                    </a:ln>
                  </pic:spPr>
                </pic:pic>
              </a:graphicData>
            </a:graphic>
          </wp:anchor>
        </w:drawing>
      </w:r>
      <w:r>
        <w:rPr>
          <w:sz w:val="28"/>
          <w:szCs w:val="28"/>
        </w:rPr>
        <w:t xml:space="preserve">Рисунок 1.1: Схематичне зображення ролі </w:t>
      </w:r>
      <w:r>
        <w:rPr>
          <w:sz w:val="28"/>
          <w:szCs w:val="28"/>
          <w:lang w:val="en-us"/>
        </w:rPr>
        <w:t>м</w:t>
      </w:r>
      <w:r>
        <w:rPr>
          <w:sz w:val="28"/>
          <w:szCs w:val="28"/>
        </w:rPr>
        <w:t>аркшейдерії</w:t>
      </w:r>
      <w:r>
        <w:rPr>
          <w:sz w:val="28"/>
          <w:szCs w:val="28"/>
        </w:rPr>
        <w:t xml:space="preserve"> </w:t>
      </w:r>
      <w:r>
        <w:rPr>
          <w:sz w:val="28"/>
          <w:szCs w:val="28"/>
        </w:rPr>
        <w:t>у структурі гірничодобувного виробництва.</w:t>
      </w:r>
      <w:r>
        <w:rPr>
          <w:sz w:val="28"/>
          <w:szCs w:val="28"/>
        </w:rPr>
      </w:r>
    </w:p>
    <w:p>
      <w:pPr>
        <w:spacing w:line="360" w:lineRule="auto"/>
        <w:jc w:val="center"/>
        <w:rPr>
          <w:b/>
          <w:bCs/>
          <w:sz w:val="28"/>
          <w:szCs w:val="28"/>
        </w:rPr>
      </w:pPr>
      <w:r>
        <w:rPr>
          <w:b/>
          <w:bCs/>
          <w:sz w:val="28"/>
          <w:szCs w:val="28"/>
        </w:rPr>
        <w:t>1.2. Проблеми маркшейдерського забезпечення на сучасних підприємствах.</w:t>
      </w:r>
    </w:p>
    <w:p>
      <w:pPr>
        <w:spacing w:line="360" w:lineRule="auto"/>
        <w:jc w:val="both"/>
        <w:rPr>
          <w:sz w:val="28"/>
          <w:szCs w:val="28"/>
        </w:rPr>
      </w:pPr>
      <w:r>
        <w:rPr>
          <w:sz w:val="28"/>
          <w:szCs w:val="28"/>
        </w:rPr>
        <w:tab/>
        <w:t>Незважаючи на тривалу історію розвитку геодезії в Україні, сучасний етап характеризується низкою складних проблем, спричинених технологічними та організаційно-економічними факторами. Шахтові підприємства переживають трансформацію, пов'язану з переходом на цифрове управління, скороченням кількості кваліфікованих спеціалістів, зносом обладнання та складними умовами роботи в шахтах [1, 2]. У таких умовах роль геодезії стає вирішальною для забезпечення безпеки праці, контролю стійкості конструкцій та ефективного планування виробництва.</w:t>
      </w:r>
    </w:p>
    <w:p>
      <w:pPr>
        <w:spacing w:line="360" w:lineRule="auto"/>
        <w:jc w:val="both"/>
        <w:rPr>
          <w:sz w:val="28"/>
          <w:szCs w:val="28"/>
        </w:rPr>
      </w:pPr>
      <w:r>
        <w:rPr>
          <w:sz w:val="28"/>
          <w:szCs w:val="28"/>
        </w:rPr>
        <w:tab/>
        <w:t>Однією з найактуальніших проблем є застаріння вимірювального обладнання. Багато шахт і кар'єрів досі використовують класичні оптичні прилади, такі як теодоліти, рівні та рулетки, які застаріли та зношені. Їхня точність не відповідає сучасним вимогам до тривимірного позиціонування, а відсутність автоматизації значно збільшує час спостережень [3]. Багато підприємств досі не мають єдиної бази даних цифрових геодезичних даних; результати вимірювань часто зберігаються в паперових журналах, що ускладнює їх подальшу обробку та аналіз. Відсутність системного підходу до оцифрування гірничої документації призводить до дублювання інформації, неможливості порівняння даних за різні роки та втрати деяких архівів.</w:t>
      </w:r>
    </w:p>
    <w:p>
      <w:pPr>
        <w:spacing w:line="360" w:lineRule="auto"/>
        <w:jc w:val="both"/>
        <w:rPr>
          <w:sz w:val="28"/>
          <w:szCs w:val="28"/>
        </w:rPr>
      </w:pPr>
      <w:r>
        <w:rPr>
          <w:sz w:val="28"/>
          <w:szCs w:val="28"/>
        </w:rPr>
        <w:tab/>
        <w:t>Ще однією важливою проблемою є дефіцит кваліфікованих кадрів. Після скорочення гірничих спеціальностей у низці університетів кількість підготовлених маркшейдерів значно зменшилася. На багатьох шахтах роль маркшейдера поєднується з функціями інженера-геодезиста або інженера-технолога, що призводить до перевантаження персоналу та зниження якості контролю [5]. Досвідчені фахівці з глибокими знаннями класичних методів та практичних методик вимірювань поступово залишають галузь, а процес передачі досвіду наступному поколінню відбувається недостатньо активно [6]. Як наслідок, існує розрив між високими технологічними можливостями сучасних приладів та рівнем підготовки користувачів.</w:t>
      </w:r>
    </w:p>
    <w:p>
      <w:pPr>
        <w:spacing w:line="360" w:lineRule="auto"/>
        <w:jc w:val="both"/>
        <w:rPr>
          <w:sz w:val="28"/>
          <w:szCs w:val="28"/>
        </w:rPr>
      </w:pPr>
      <w:r>
        <w:rPr>
          <w:sz w:val="28"/>
          <w:szCs w:val="28"/>
        </w:rPr>
        <w:tab/>
        <w:t>Технологічний прогрес останніх десятиліть привніс у маркшейдерію нові прилади - електронні теодоліти, невідбивні далекоміри, лазерні сканери, приймачі ГНСС, фотограмметричні системи та наземне лідарне сканування [7]. Однак їх використання обмежене через високу вартість обладнання, складність обслуговування та недостатню інтеграцію з існуючими виробничими процесами. На практиці лише кілька великих підприємств Кривбасу та Донбасу змогли створити власні цифрові геодезичні полігони, тоді як більшість шахт продовжують працювати з використанням традиційних методів вимірювання [10, 11]. Хоча сучасні технології лазерного сканування дозволяють досягати міліметрової точності та створювати детальні 3D-моделі виробок, відсутність програмних платформ для обробки та сумісності даних часто зводить нанівець переваги таких систем.</w:t>
      </w:r>
    </w:p>
    <w:p>
      <w:pPr>
        <w:spacing w:line="360" w:lineRule="auto"/>
        <w:jc w:val="both"/>
        <w:rPr>
          <w:sz w:val="28"/>
          <w:szCs w:val="28"/>
        </w:rPr>
      </w:pPr>
      <w:r>
        <w:rPr>
          <w:sz w:val="28"/>
          <w:szCs w:val="28"/>
        </w:rPr>
        <w:tab/>
        <w:t>Забезпечення безпеки підземних робіт залишається серйозною проблемою. Під час експлуатації гірничих споруд постійно відбуваються деформаційні зміни, зумовлені напружено-деформованим станом породи, гідрогеологічними умовами та вібраційними навантаженнями від техніки. Геодезична служба повинна забезпечити раннє виявлення небезпечних процесів, таких як зсуви, просідання, обвали та відмови обладнання [13]. Однак через обмежені можливості регулярного моніторингу ці явища часто виявляються лише після того, як настали наслідки [14]. Сучасні автоматизовані системи спостереження на основі сенсорних мереж та лазерного сканування ще не охоплюють усі потенційно небезпечні зони [15].</w:t>
      </w:r>
    </w:p>
    <w:p>
      <w:pPr>
        <w:spacing w:line="360" w:lineRule="auto"/>
        <w:jc w:val="both"/>
        <w:rPr>
          <w:sz w:val="28"/>
          <w:szCs w:val="28"/>
        </w:rPr>
      </w:pPr>
      <w:r>
        <w:rPr>
          <w:sz w:val="28"/>
          <w:szCs w:val="28"/>
        </w:rPr>
        <w:tab/>
        <w:t>Значна частина проблем також пов'язана з відсутністю єдиної нормативно-методологічної бази використання цифрових технологій у геодезії. Існуючі стандарти ДСТУ та інструкції з геодезичних робіт були розроблені переважно у 1990-х та на початку 2000-х років, коли електронні прилади тільки починали використовуватися [16]. Однак у наш час більшість приладів є складними цифровими системами, які потребують різних алгоритмів калібрування, перевірки точності та сертифікації. За відсутності оновлених стандартів підприємства змушені розробляти внутрішні нормативні акти, які не завжди узгоджуються з міжнародними вимогами [18].</w:t>
      </w:r>
    </w:p>
    <w:p>
      <w:pPr>
        <w:spacing w:line="360" w:lineRule="auto"/>
        <w:jc w:val="both"/>
        <w:rPr>
          <w:sz w:val="28"/>
          <w:szCs w:val="28"/>
        </w:rPr>
      </w:pPr>
      <w:r>
        <w:rPr>
          <w:sz w:val="28"/>
          <w:szCs w:val="28"/>
        </w:rPr>
        <w:tab/>
        <w:t>Проблеми з процесом маркшейдерських робіт виникають також в організації виробничого процесу. У деяких випадках маркшейдерські служби не мають достатніх повноважень для впливу на планування гірничих робіт, а їхні рекомендації враховуються лише частково або із затримкою [19]. Це суперечить принципам комплексного управління ризиками, прийнятим у провідних гірничодобувних країнах, таких як Німеччина, Канада та Австралія, де гірничі інженери входять до складу технічних комісій з безпеки та проектування виробок. Українська практика поступово наближається до таких стандартів, але статус маркшейдерських служб у структурі управління підприємств потребує підвищення [21].</w:t>
      </w:r>
    </w:p>
    <w:p>
      <w:pPr>
        <w:spacing w:line="360" w:lineRule="auto"/>
        <w:jc w:val="both"/>
        <w:rPr>
          <w:sz w:val="28"/>
          <w:szCs w:val="28"/>
        </w:rPr>
      </w:pPr>
      <w:r>
        <w:rPr>
          <w:sz w:val="28"/>
          <w:szCs w:val="28"/>
        </w:rPr>
        <w:tab/>
        <w:t>Варто також відзначити недостатній рівень автоматизації обміну даними. На багатьох шахтах різні відділи використовують власне програмне забезпечення, яке не сумісне між собою - наприклад, гірничодобувний відділ використовує одну САПР, а маркшейдерський - іншу. Відсутність централізованої системи зберігання просторових даних призводить до помилок під час передачі координат, невідповідностей у моделях та зниження точності взаємного позиціонування. Перехід до інтегрованих платформ, що поєднують геодезичні, геологічні, вентиляційні та дані безпеки, залишається завданням майбутнього [23].</w:t>
      </w:r>
    </w:p>
    <w:p>
      <w:pPr>
        <w:spacing w:line="360" w:lineRule="auto"/>
        <w:jc w:val="both"/>
        <w:rPr>
          <w:sz w:val="28"/>
          <w:szCs w:val="28"/>
        </w:rPr>
      </w:pPr>
      <w:r>
        <w:rPr>
          <w:sz w:val="28"/>
          <w:szCs w:val="28"/>
        </w:rPr>
        <w:tab/>
        <w:t>З огляду на сучасні виклики, потреба у підвищенні рівня цифрової грамотності серед стрілків стає дедалі актуальнішою. ​​Навіть на підприємствах, де придбано сучасне обладнання, відсутність систематичного навчання персоналу знижує ефективність його використання. В Україні майже немає курсів чи програм сертифікації для роботи з лазерними сканерами, дронами чи програмними платформами для 3D-моделювання [24]. Лише кілька університетів (Житомирський політехнічний університет, Національний гірничий університет, Криворізький технічний університет) запровадили дисципліни з цифрових технологій у геодезії [26].</w:t>
      </w:r>
    </w:p>
    <w:p>
      <w:pPr>
        <w:spacing w:line="360" w:lineRule="auto"/>
        <w:jc w:val="both"/>
        <w:rPr>
          <w:sz w:val="28"/>
          <w:szCs w:val="28"/>
        </w:rPr>
      </w:pPr>
      <w:r>
        <w:rPr>
          <w:sz w:val="28"/>
          <w:szCs w:val="28"/>
        </w:rPr>
        <w:tab/>
        <w:t>Ще одним важливим питанням є фінансування. На відміну від видобутку чи транспортування руди, геодезична робота безпосередньо не генерує прибутку, тому часто сприймається керівництвом як допоміжна функція. Це призводить до скорочення бюджетів на оновлення обладнання, програмного забезпечення та навчання. Однак, якісна геодезична робота є необхідною для стабільної роботи компанії, запобігання аваріям та зменшення непродуктивних витрат, пов'язаних з помилками планування [28, 29].</w:t>
      </w:r>
    </w:p>
    <w:p>
      <w:pPr>
        <w:spacing w:line="360" w:lineRule="auto"/>
        <w:jc w:val="both"/>
        <w:rPr>
          <w:sz w:val="28"/>
          <w:szCs w:val="28"/>
        </w:rPr>
      </w:pPr>
      <w:r>
        <w:rPr>
          <w:sz w:val="28"/>
          <w:szCs w:val="28"/>
        </w:rPr>
        <w:tab/>
        <w:t>У контексті екологічних проблем геодезія відіграє особливу роль у моніторингу наслідків антропогенного впливу. Старі промислові зони Кривбасу та Донбасу досі мають проблеми з просіданням ґрунту, затопленнями та деформаціями будівель, спричиненими тривалим видобутком руди [30]. Для контролю цих проблем потрібні системи довгострокового моніторингу, але більшість постів моніторингу демонтовані або не функціонують через брак фінансування. Відновлення таких спостережень та впровадження дистанційних методів, таких як InSAR-моніторинг, станції GNSS та аерофотозйомка, підвищить екологічну безпеку регіонів та дозволить своєчасно виявляти ризики [33].</w:t>
      </w:r>
    </w:p>
    <w:p>
      <w:pPr>
        <w:spacing w:line="360" w:lineRule="auto"/>
        <w:jc w:val="both"/>
        <w:rPr>
          <w:sz w:val="28"/>
          <w:szCs w:val="28"/>
        </w:rPr>
      </w:pPr>
      <w:r>
        <w:rPr>
          <w:sz w:val="28"/>
          <w:szCs w:val="28"/>
        </w:rPr>
        <w:tab/>
        <w:t>Таким чином, основні проблеми геодезії сучасних підприємств можна розділити на чотири групи: технічні (застаріле обладнання, відсутність цифрових платформ), організаційні (недостатня координація між відділами, брак повноважень), кадрові (брак спеціалістів, розрив між поколіннями) та нормативно-правові (застарілі стандарти, відсутність адаптації до міжнародних норм). Подолання цих проблем вимагає комплексного підходу, що поєднує оновлення технічної бази, підготовку персоналу, гармонізацію стандартів та розробку державної програми цифрової трансформації маркшейдерської роботи [38].</w:t>
      </w:r>
    </w:p>
    <w:p>
      <w:pPr>
        <w:spacing w:line="360" w:lineRule="auto"/>
        <w:jc w:val="both"/>
        <w:rPr>
          <w:sz w:val="28"/>
          <w:szCs w:val="28"/>
        </w:rPr>
      </w:pPr>
      <w:r>
        <w:rPr>
          <w:sz w:val="28"/>
          <w:szCs w:val="28"/>
        </w:rPr>
        <w:tab/>
        <w:t>Лише за цих умов можна забезпечити стабільну роботу гірничодобувних підприємств, підвищити рівень безпеки праці та знизити ризик техногенних аварій. Розвиток маркшейдерської справи - це не лише питання точності вимірювань, а й стратегічний фактор сталого розвитку гірничодобувної промисловості України, зокрема в її основних промислових регіонах - Кривбасу</w:t>
      </w:r>
      <w:r>
        <w:rPr>
          <w:sz w:val="28"/>
          <w:szCs w:val="28"/>
        </w:rPr>
        <w:t xml:space="preserve"> та Донбас</w:t>
      </w:r>
      <w:r>
        <w:rPr>
          <w:sz w:val="28"/>
          <w:szCs w:val="28"/>
        </w:rPr>
        <w:t>у</w:t>
      </w:r>
      <w:r>
        <w:rPr>
          <w:sz w:val="28"/>
          <w:szCs w:val="28"/>
        </w:rPr>
        <w:t xml:space="preserve"> [42]. </w:t>
      </w:r>
      <w:r>
        <w:rPr>
          <w:sz w:val="28"/>
          <w:szCs w:val="28"/>
        </w:rPr>
        <w:t>На</w:t>
      </w:r>
      <w:r>
        <w:rPr>
          <w:sz w:val="28"/>
          <w:szCs w:val="28"/>
        </w:rPr>
        <w:t xml:space="preserve"> </w:t>
      </w:r>
      <w:r>
        <w:rPr>
          <w:sz w:val="28"/>
          <w:szCs w:val="28"/>
        </w:rPr>
        <w:t xml:space="preserve">рисунку 1.2 хоч і не показано повноцінну картину того з чим стикається маркшейдер при роботі, але схематичне уявлення того, що і як бачить маркшейдер </w:t>
      </w:r>
      <w:r>
        <w:rPr>
          <w:sz w:val="28"/>
          <w:szCs w:val="28"/>
          <w:lang w:val="en-us"/>
        </w:rPr>
        <w:t>[52].</w:t>
      </w:r>
      <w:r>
        <w:rPr>
          <w:sz w:val="28"/>
          <w:szCs w:val="28"/>
        </w:rPr>
      </w:r>
    </w:p>
    <w:p>
      <w:pPr>
        <w:spacing w:line="360" w:lineRule="auto"/>
        <w:jc w:val="center"/>
        <w:rPr>
          <w:sz w:val="28"/>
          <w:szCs w:val="28"/>
        </w:rPr>
      </w:pPr>
      <w:r>
        <w:rPr>
          <w:noProof/>
        </w:rPr>
        <w:drawing>
          <wp:anchor distT="0" distB="0" distL="0" distR="0" simplePos="0" relativeHeight="251658246" behindDoc="0" locked="0" layoutInCell="0" hidden="0" allowOverlap="1">
            <wp:simplePos x="0" y="0"/>
            <wp:positionH relativeFrom="column">
              <wp:align>center</wp:align>
            </wp:positionH>
            <wp:positionV relativeFrom="paragraph">
              <wp:posOffset>635</wp:posOffset>
            </wp:positionV>
            <wp:extent cx="5010785" cy="4810760"/>
            <wp:effectExtent l="0" t="0" r="0" b="0"/>
            <wp:wrapSquare wrapText="largest"/>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a:extLst>
                        <a:ext uri="sm">
                          <sm:smNativeData xmlns:sm="sm" val="SMDATA_16_4Zz2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VAAAAAKIAAAMAAAAAAAAAAgAAAAIAAAAAAAAAAAAAAAIAAAABAAAA0x4AAJgdAAANAAAADgoAAJ4GAAAoAAAACAAAAAEAAAABAAAA"/>
                        </a:ext>
                      </a:extLst>
                    </pic:cNvPicPr>
                  </pic:nvPicPr>
                  <pic:blipFill>
                    <a:blip r:embed="rId9"/>
                    <a:stretch>
                      <a:fillRect/>
                    </a:stretch>
                  </pic:blipFill>
                  <pic:spPr>
                    <a:xfrm>
                      <a:off x="0" y="0"/>
                      <a:ext cx="5010785" cy="4810760"/>
                    </a:xfrm>
                    <a:prstGeom prst="rect">
                      <a:avLst/>
                    </a:prstGeom>
                    <a:noFill/>
                    <a:ln w="9525">
                      <a:noFill/>
                    </a:ln>
                  </pic:spPr>
                </pic:pic>
              </a:graphicData>
            </a:graphic>
          </wp:anchor>
        </w:drawing>
      </w:r>
      <w:r>
        <w:rPr>
          <w:sz w:val="28"/>
          <w:szCs w:val="28"/>
        </w:rPr>
        <w:t>Рисунок 1.2: Схематичне розгладання</w:t>
      </w:r>
      <w:r>
        <w:rPr>
          <w:sz w:val="28"/>
          <w:szCs w:val="28"/>
        </w:rPr>
        <w:t xml:space="preserve"> питан</w:t>
      </w:r>
      <w:r>
        <w:rPr>
          <w:sz w:val="28"/>
          <w:szCs w:val="28"/>
        </w:rPr>
        <w:t>ь</w:t>
      </w:r>
      <w:r>
        <w:rPr>
          <w:sz w:val="28"/>
          <w:szCs w:val="28"/>
        </w:rPr>
        <w:t xml:space="preserve"> </w:t>
      </w:r>
      <w:r>
        <w:rPr>
          <w:sz w:val="28"/>
          <w:szCs w:val="28"/>
        </w:rPr>
        <w:t>маркшейдерського</w:t>
      </w:r>
      <w:r>
        <w:rPr>
          <w:sz w:val="28"/>
          <w:szCs w:val="28"/>
        </w:rPr>
        <w:t xml:space="preserve"> забезпечення сучасних гірничодобувних підприємств</w:t>
      </w:r>
      <w:r>
        <w:rPr>
          <w:sz w:val="28"/>
          <w:szCs w:val="28"/>
        </w:rPr>
      </w:r>
    </w:p>
    <w:p>
      <w:pPr>
        <w:spacing w:line="360" w:lineRule="auto"/>
        <w:jc w:val="center"/>
        <w:rPr>
          <w:b/>
          <w:bCs/>
          <w:sz w:val="28"/>
          <w:szCs w:val="28"/>
        </w:rPr>
      </w:pPr>
      <w:r>
        <w:rPr>
          <w:b/>
          <w:bCs/>
          <w:sz w:val="28"/>
          <w:szCs w:val="28"/>
        </w:rPr>
        <w:t>1.3. Вплив цифровізації та автоматизації на маркшейдерські процеси.</w:t>
      </w:r>
    </w:p>
    <w:p>
      <w:pPr>
        <w:spacing w:line="360" w:lineRule="auto"/>
        <w:jc w:val="both"/>
        <w:rPr>
          <w:sz w:val="28"/>
          <w:szCs w:val="28"/>
        </w:rPr>
      </w:pPr>
      <w:r>
        <w:rPr>
          <w:sz w:val="28"/>
          <w:szCs w:val="28"/>
        </w:rPr>
        <w:tab/>
        <w:t>Цифровізація та автоматизація стали ключовими факторами трансформації сучасної геодезії. Протягом останніх двох десятиліть гірничодобувні компанії поступово переходили від традиційних методів вимірювання до високотехнологічних систем збору, обробки та аналізу просторових даних [3, 17]. Цей перехід зумовлений необхідністю підвищення точності, швидкості та безпеки роботи, а також загальною тенденцією до створення «розумних» шахт - цифрових виробничих комплексів, де всі технологічні процеси взаємопов’язані через єдине інформаційне середовище.</w:t>
      </w:r>
    </w:p>
    <w:p>
      <w:pPr>
        <w:spacing w:line="360" w:lineRule="auto"/>
        <w:jc w:val="both"/>
        <w:rPr>
          <w:sz w:val="28"/>
          <w:szCs w:val="28"/>
        </w:rPr>
      </w:pPr>
      <w:r>
        <w:rPr>
          <w:sz w:val="28"/>
          <w:szCs w:val="28"/>
        </w:rPr>
        <w:tab/>
        <w:t>Основою цифрової трансформації геодезії є інтеграція сучасних вимірювальних приладів з аналітичним програмним забезпеченням. Електронні теодоліти, невідбивні далекоміри, ГНСС-приймачі, лазерні сканери та фотограмметричні системи забезпечують отримання великих обсягів даних з високою щільністю та точністю [18, 23]. Сучасні системи сканування, включаючи мобільні платформи LiDAR, дозволяють формувати тривимірні моделі підземних просторів навіть у важкодоступних місцях, де раніше вимірювання проводилися лише частково [25].</w:t>
      </w:r>
    </w:p>
    <w:p>
      <w:pPr>
        <w:spacing w:line="360" w:lineRule="auto"/>
        <w:jc w:val="both"/>
        <w:rPr>
          <w:sz w:val="28"/>
          <w:szCs w:val="28"/>
        </w:rPr>
      </w:pPr>
      <w:r>
        <w:rPr>
          <w:sz w:val="28"/>
          <w:szCs w:val="28"/>
        </w:rPr>
        <w:tab/>
        <w:t>Використання цифрових технологій дозволяє автоматично оновлювати картографічні та геометричні моделі гірничих виробок. Програмні комплекси, що підтримують обробку хмар точок, дозволяють швидко отримувати такі параметри, як поперечний переріз, об'єм виходу на поверхню, обвал та деформаційний об'єм без необхідності трудомістких польових вимірювань [28]. Це значно скорочує час, витрачений на геодезичні роботи, та зменшує кількість помилок, спричинених людським фактором.</w:t>
      </w:r>
    </w:p>
    <w:p>
      <w:pPr>
        <w:spacing w:line="360" w:lineRule="auto"/>
        <w:jc w:val="both"/>
        <w:rPr>
          <w:sz w:val="28"/>
          <w:szCs w:val="28"/>
        </w:rPr>
      </w:pPr>
      <w:r>
        <w:rPr>
          <w:sz w:val="28"/>
          <w:szCs w:val="28"/>
        </w:rPr>
        <w:tab/>
        <w:t>Впровадження цифрових технологій також змінило характер роботи маркшейдера. Якщо раніше він зосереджувався переважно на вимірюваннях та розрахунках у шахті, то зараз значна частина його діяльності перейшла в цифрове середовище - робота з 3D-моделями, базами даних та геоінформаційними системами (ГІС) [31]. Це вимагає нових компетенцій: знання спеціалізованого програмного забезпечення (Micromine, Surpac, AutoCAD Civil 3D, Leica Cyclone тощо), розуміння принципів обміну цифровими даними та основ аналітики великих даних [35, 42].</w:t>
      </w:r>
    </w:p>
    <w:p>
      <w:pPr>
        <w:spacing w:line="360" w:lineRule="auto"/>
        <w:jc w:val="both"/>
        <w:rPr>
          <w:sz w:val="28"/>
          <w:szCs w:val="28"/>
        </w:rPr>
      </w:pPr>
      <w:r>
        <w:rPr>
          <w:sz w:val="28"/>
          <w:szCs w:val="28"/>
        </w:rPr>
        <w:tab/>
        <w:t>Однією з найперспективніших технологій у маркшейдерії є лазерне сканування. Використання стаціонарних, мобільних або безпілотних систем LiDAR дозволяє фіксувати просторове положення поверхонь з точністю до кількох міліметрів [7, 25]. Використання LiDAR у гірничих виробках дозволяє будувати високодетальні 3D-моделі, які можна інтегрувати в цифрові двійники гірничодобувних підприємств [27]. На підприємствах Кривбасу вже реалізовано пілотні проекти з автоматизованим скануванням вибою, що дозволяє прогнозувати обсяги видобутку та виявляти небезпечні ділянки на основі ознак деформації [11, 43].</w:t>
      </w:r>
    </w:p>
    <w:p>
      <w:pPr>
        <w:spacing w:line="360" w:lineRule="auto"/>
        <w:jc w:val="both"/>
        <w:rPr>
          <w:sz w:val="28"/>
          <w:szCs w:val="28"/>
        </w:rPr>
      </w:pPr>
      <w:r>
        <w:rPr>
          <w:sz w:val="28"/>
          <w:szCs w:val="28"/>
        </w:rPr>
        <w:tab/>
        <w:t>Ще одним напрямком цифровізації є автоматизований моніторинг деформацій. Раніше контроль здійснювався періодично вручну, але зараз його замінюють мережі датчиків, які передають дані в режимі реального часу [19, 33]. Ці системи включають оптичні інклінометри, гідростатичні рівні, лазерні мішені та волоконно-оптичні датчики, що вимірюють мікрорухи в кріпленнях шахт. Інтеграція даних датчиків з аналітичними системами дозволяє створювати прогнозні моделі поведінки гірського масиву та своєчасно запобігати аваріям [24].</w:t>
      </w:r>
    </w:p>
    <w:p>
      <w:pPr>
        <w:spacing w:line="360" w:lineRule="auto"/>
        <w:jc w:val="both"/>
        <w:rPr>
          <w:sz w:val="28"/>
          <w:szCs w:val="28"/>
        </w:rPr>
      </w:pPr>
      <w:r>
        <w:rPr>
          <w:sz w:val="28"/>
          <w:szCs w:val="28"/>
        </w:rPr>
        <w:tab/>
        <w:t>Завдяки автоматизації покращилися процеси ведення гірничої документації. Сьогодні дані вимірювань одразу записуються в цифрову базу даних, де проходять попередню перевірку та обробку алгоритмами контролю якості [22, 28]. Це усуває необхідність ручного введення, уникає помилок округлення та забезпечує повну просторову узгодженість даних. Створення корпоративних геоінформаційних систем (ГІС) дозволило інтегрувати маркшейдерські, геологічні, гідрогеологічні та вентиляційні дані в єдину аналітичну платформу, тим самим покращуючи управління гірничодобувними підприємствами [36].</w:t>
      </w:r>
    </w:p>
    <w:p>
      <w:pPr>
        <w:spacing w:line="360" w:lineRule="auto"/>
        <w:jc w:val="both"/>
        <w:rPr>
          <w:sz w:val="28"/>
          <w:szCs w:val="28"/>
        </w:rPr>
      </w:pPr>
      <w:r>
        <w:rPr>
          <w:sz w:val="28"/>
          <w:szCs w:val="28"/>
        </w:rPr>
        <w:tab/>
        <w:t>Ще одним важливим аспектом цифровізації є використання безпілотних літальних апаратів (БПЛА). Аерофотозйомка кар'єрів та відвалів за допомогою дронів значно збільшує швидкість збору даних та покращує охорону праці [32, 38]. Замість того, щоб працівникам доводилося виїжджати на небезпечні ділянки, обстеження проводиться дистанційно, а отримані зображення автоматично перетворюються на цифрову модель місцевості або ортофотоплан. У Кривому Розі ця технологія активно використовується для моніторингу стійкості відвалів породних пород та дамб, а також для розрахунку обсягу переміщених мас [15, 40].</w:t>
      </w:r>
    </w:p>
    <w:p>
      <w:pPr>
        <w:spacing w:line="360" w:lineRule="auto"/>
        <w:jc w:val="both"/>
        <w:rPr>
          <w:sz w:val="28"/>
          <w:szCs w:val="28"/>
        </w:rPr>
      </w:pPr>
      <w:r>
        <w:rPr>
          <w:sz w:val="28"/>
          <w:szCs w:val="28"/>
        </w:rPr>
        <w:tab/>
        <w:t>Впровадження автоматизації супроводжується створенням інтелектуальних систем, що підтримують процеси прийняття рішень та використовують методи машинного навчання для аналізу просторово-часових даних [41]. Наприклад, нейронні мережі використовуються для класифікації шахтних територій за ступенем небезпеки та прогнозування можливих обвалів або просідання. Ці системи поєднують результати лазерного сканування, геологічні карти та інформацію з тензодатчиків, створюючи єдину базу даних для аналізу.</w:t>
      </w:r>
    </w:p>
    <w:p>
      <w:pPr>
        <w:spacing w:line="360" w:lineRule="auto"/>
        <w:jc w:val="both"/>
        <w:rPr>
          <w:sz w:val="28"/>
          <w:szCs w:val="28"/>
        </w:rPr>
      </w:pPr>
      <w:r>
        <w:rPr>
          <w:sz w:val="28"/>
          <w:szCs w:val="28"/>
        </w:rPr>
        <w:tab/>
        <w:t>Водночас, цифровізація створює нові виклики. По-перше, існує потреба в захисті даних, оскільки бази даних геодезичних досліджень містять стратегічну інформацію про глибину та конфігурацію виробок [12]. По-друге, високий рівень автоматизації вимагає безперебійного енергопостачання та стабільного підключення, що не завжди можливо в підземних умовах. По-третє, існує ризик втрати можливості проводити класичні вимірювання, без яких неможливо перевірити правильність автоматичних результатів [30, 37].</w:t>
      </w:r>
    </w:p>
    <w:p>
      <w:pPr>
        <w:spacing w:line="360" w:lineRule="auto"/>
        <w:jc w:val="both"/>
        <w:rPr>
          <w:sz w:val="28"/>
          <w:szCs w:val="28"/>
        </w:rPr>
      </w:pPr>
      <w:r>
        <w:rPr>
          <w:sz w:val="28"/>
          <w:szCs w:val="28"/>
        </w:rPr>
        <w:tab/>
        <w:t>У контексті сталого розвитку цифровізація геодезичних досліджень відкриває нові можливості для моніторингу навколишнього середовища. Завдяки супутниковим технологіям, системам InSAR та дистанційного зондування можна спостерігати просідання поверхні, деформацію земної кори та зміни водного балансу промислових зон [26, 39]. Це дозволяє контролювати довгострокові процеси у старих гірничодобувних районах, таких як Кривбас та Донбас, де підземні зрушення тривають після закриття шахт.</w:t>
      </w:r>
    </w:p>
    <w:p>
      <w:pPr>
        <w:spacing w:line="360" w:lineRule="auto"/>
        <w:jc w:val="both"/>
        <w:rPr>
          <w:sz w:val="28"/>
          <w:szCs w:val="28"/>
        </w:rPr>
      </w:pPr>
      <w:r>
        <w:rPr>
          <w:sz w:val="28"/>
          <w:szCs w:val="28"/>
        </w:rPr>
        <w:tab/>
        <w:t>Загалом, цифровізація та автоматизація процесів маркшейдерії призводить до переосмислення самої природи маркшейдерії - з допоміжної послуги вона стає невід'ємною частиною цифрового управління гірничодобувними підприємствами [45]. Вона поєднує вимірювальні, аналітичні та управлінські функції, забезпечуючи прозорість, точність та передбачуваність усіх процесів. Поєднання традиційних методів та найсучасніших цифрових технологій відкриває шлях для української геодезичної школи до нового рівня - інтелектуальної маркшейдерії, де автоматизація розширює аналітичні можливості людини, а не замінює їх [46, 48].</w:t>
      </w:r>
    </w:p>
    <w:p>
      <w:pPr>
        <w:spacing w:line="360" w:lineRule="auto"/>
        <w:jc w:val="center"/>
        <w:rPr>
          <w:sz w:val="28"/>
          <w:szCs w:val="28"/>
        </w:rPr>
      </w:pPr>
      <w:r>
        <w:rPr>
          <w:noProof/>
        </w:rPr>
        <w:drawing>
          <wp:anchor distT="0" distB="0" distL="0" distR="0" simplePos="0" relativeHeight="251658247" behindDoc="0" locked="0" layoutInCell="0" hidden="0" allowOverlap="1">
            <wp:simplePos x="0" y="0"/>
            <wp:positionH relativeFrom="column">
              <wp:align>center</wp:align>
            </wp:positionH>
            <wp:positionV relativeFrom="paragraph">
              <wp:posOffset>635</wp:posOffset>
            </wp:positionV>
            <wp:extent cx="6120130" cy="2480945"/>
            <wp:effectExtent l="0" t="0" r="0" b="0"/>
            <wp:wrapSquare wrapText="largest"/>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a:extLst>
                        <a:ext uri="sm">
                          <sm:smNativeData xmlns:sm="sm" val="SMDATA_16_4Zz2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jAAAAAKIAAAMAAAAAAAAAAgAAAAIAAAAAAAAAAAAAAAIAAAABAAAApiUAAEMPAAARAAAApQYAAJ4GAAAoAAAACAAAAAEAAAABAAAA"/>
                        </a:ext>
                      </a:extLst>
                    </pic:cNvPicPr>
                  </pic:nvPicPr>
                  <pic:blipFill>
                    <a:blip r:embed="rId10"/>
                    <a:stretch>
                      <a:fillRect/>
                    </a:stretch>
                  </pic:blipFill>
                  <pic:spPr>
                    <a:xfrm>
                      <a:off x="0" y="0"/>
                      <a:ext cx="6120130" cy="2480945"/>
                    </a:xfrm>
                    <a:prstGeom prst="rect">
                      <a:avLst/>
                    </a:prstGeom>
                    <a:noFill/>
                    <a:ln w="9525">
                      <a:noFill/>
                    </a:ln>
                  </pic:spPr>
                </pic:pic>
              </a:graphicData>
            </a:graphic>
          </wp:anchor>
        </w:drawing>
      </w:r>
      <w:r>
        <w:rPr>
          <w:sz w:val="28"/>
          <w:szCs w:val="28"/>
        </w:rPr>
        <w:t>Рисунок 1.3: Вплив цифровізації на структуру процесів маркшейдерських</w:t>
      </w:r>
      <w:r>
        <w:rPr>
          <w:sz w:val="28"/>
          <w:szCs w:val="28"/>
        </w:rPr>
        <w:t xml:space="preserve"> дослідже</w:t>
      </w:r>
      <w:r>
        <w:rPr>
          <w:sz w:val="28"/>
          <w:szCs w:val="28"/>
        </w:rPr>
        <w:t>нь</w:t>
      </w:r>
      <w:r>
        <w:rPr>
          <w:sz w:val="28"/>
          <w:szCs w:val="28"/>
          <w:lang w:val="en-us"/>
        </w:rPr>
        <w:t xml:space="preserve"> [53]</w:t>
      </w:r>
      <w:r>
        <w:rPr>
          <w:sz w:val="28"/>
          <w:szCs w:val="28"/>
        </w:rPr>
        <w:t>.</w:t>
      </w:r>
      <w:r>
        <w:rPr>
          <w:sz w:val="28"/>
          <w:szCs w:val="28"/>
        </w:rPr>
      </w:r>
    </w:p>
    <w:p>
      <w:pPr>
        <w:spacing w:line="360" w:lineRule="auto"/>
        <w:jc w:val="center"/>
        <w:rPr>
          <w:b/>
          <w:bCs/>
          <w:sz w:val="28"/>
          <w:szCs w:val="28"/>
        </w:rPr>
      </w:pPr>
      <w:r>
        <w:rPr>
          <w:b/>
          <w:bCs/>
          <w:sz w:val="28"/>
          <w:szCs w:val="28"/>
        </w:rPr>
        <w:t>1.4. Екологічні та безпекові аспекти маркшейдерських робіт.</w:t>
      </w:r>
    </w:p>
    <w:p>
      <w:pPr>
        <w:spacing w:line="360" w:lineRule="auto"/>
        <w:jc w:val="both"/>
        <w:rPr>
          <w:sz w:val="28"/>
          <w:szCs w:val="28"/>
        </w:rPr>
      </w:pPr>
      <w:r>
        <w:rPr>
          <w:sz w:val="28"/>
          <w:szCs w:val="28"/>
        </w:rPr>
        <w:tab/>
        <w:t>Сучасна маркшейдерська робота не лише виконує традиційні інженерні та геометричні завдання, але й відіграє ключову роль у забезпеченні екологічної безпеки, контролі впливу технологій на довкілля та запобіганні аваріям у гірничодобувній промисловості [5, 9]. В умовах інтенсивного видобутку сировини, зокрема в промислових регіонах України, таких як Криворізький залізорудний басейн та Донбас, екологічні ризики пов'язані з підземними деформаціями, просіданням поверхні, змінами водного режиму та забрудненням ґрунтових вод [14, 19].</w:t>
      </w:r>
    </w:p>
    <w:p>
      <w:pPr>
        <w:spacing w:line="360" w:lineRule="auto"/>
        <w:jc w:val="both"/>
        <w:rPr>
          <w:sz w:val="28"/>
          <w:szCs w:val="28"/>
        </w:rPr>
      </w:pPr>
      <w:r>
        <w:rPr>
          <w:sz w:val="28"/>
          <w:szCs w:val="28"/>
        </w:rPr>
        <w:tab/>
        <w:t>Маркшейдерські служби забезпечують моніторинг просторових та геодинамічних процесів, які безпосередньо впливають на стан природного середовища. Зокрема, вони відстежують просідання земної поверхні внаслідок підземних гірничих робіт, зсуви, обвалення покрівлі, пошкодження дренажної системи шахт та стан відвалів [22]. У регіонах з давньою історією гірничої справи, таких як Кривбас, накопичені деформаційні процеси мають довгостроковий вплив і продовжують впливати на довкілля навіть після закриття шахт. Саме ці спостереження дозволяють нам визначати динаміку цих процесів, прогнозувати ризики та розробляти стабілізаційні заходи [23, 37].</w:t>
      </w:r>
    </w:p>
    <w:p>
      <w:pPr>
        <w:spacing w:line="360" w:lineRule="auto"/>
        <w:jc w:val="both"/>
        <w:rPr>
          <w:sz w:val="28"/>
          <w:szCs w:val="28"/>
        </w:rPr>
      </w:pPr>
      <w:r>
        <w:rPr>
          <w:sz w:val="28"/>
          <w:szCs w:val="28"/>
        </w:rPr>
        <w:tab/>
        <w:t>У контексті екологічної безпеки важливо враховувати та моделювати припливи води в шахти. Порушення гідрогеологічного балансу можуть призвести до затоплення виробок, підвищення рівня шахтних вод та вторинного забруднення водоносних горизонтів. Сучасні геодезичні системи дозволяють інтегрувати результати гідрогеологічного моніторингу в єдині цифрові моделі, що дозволяє виявляти зміни рівня ґрунтових вод у режимі реального часу [24, 33]. Використання супутникових технологій InSAR та GNSS у поєднанні з підземними вимірюваннями забезпечує високу точність визначення зон потенційного затоплення [25].</w:t>
      </w:r>
    </w:p>
    <w:p>
      <w:pPr>
        <w:spacing w:line="360" w:lineRule="auto"/>
        <w:jc w:val="both"/>
        <w:rPr>
          <w:sz w:val="28"/>
          <w:szCs w:val="28"/>
        </w:rPr>
      </w:pPr>
      <w:r>
        <w:rPr>
          <w:sz w:val="28"/>
          <w:szCs w:val="28"/>
        </w:rPr>
        <w:tab/>
        <w:t>Особливе значення мають роботи з контролю технологічних просідань земної поверхні. Просідання, спричинені гірничими роботами, можуть становити серйозну загрозу для будівель, транспортної інфраструктури та природних дренажних систем. У багатьох промислових районах України геодезисти систематично контролюють просідання за допомогою високоточних методів нівелювання та дистанційного зондування, включаючи інтерферометрію (InSAR) [17, 26]. Ці спостереження надають дані, які не тільки дозволяють фіксувати деформації, але й розробляти заходи щодо запобігання пошкодженням.</w:t>
      </w:r>
    </w:p>
    <w:p>
      <w:pPr>
        <w:spacing w:line="360" w:lineRule="auto"/>
        <w:jc w:val="both"/>
        <w:rPr>
          <w:sz w:val="28"/>
          <w:szCs w:val="28"/>
        </w:rPr>
      </w:pPr>
      <w:r>
        <w:rPr>
          <w:sz w:val="28"/>
          <w:szCs w:val="28"/>
        </w:rPr>
        <w:tab/>
        <w:t>Підвищення рівня екологічної безпеки вимагає інтеграції даних гірничих робіт з геоінформаційними системами (ГІС). Використання ГІС забезпечує просторову візуалізацію зон ризику, створення карт просідання та аналіз взаємозв'язку між гірничою діяльністю та екологічним станом територій [27]. Це надає місцевим органам влади та промисловим підприємствам інструмент для прийняття рішень щодо землекористування, містобудування та проведення рекультиваційних робіт. У Кривому Розі вже реалізовано пілотні проекти зі створення регіональних геопорталів, де об'єднані дані гірничих робіт, екологічні та кадастрові дані [29].</w:t>
      </w:r>
    </w:p>
    <w:p>
      <w:pPr>
        <w:spacing w:line="360" w:lineRule="auto"/>
        <w:jc w:val="both"/>
        <w:rPr>
          <w:sz w:val="28"/>
          <w:szCs w:val="28"/>
        </w:rPr>
      </w:pPr>
      <w:r>
        <w:rPr>
          <w:sz w:val="28"/>
          <w:szCs w:val="28"/>
        </w:rPr>
        <w:tab/>
        <w:t>Ще одним важливим аспектом є контроль стійкості гірничих виробок та кріплень, оскільки це впливає на безпеку працівників. Підземні умови зазнають постійної деформації гірського масиву та змін напружено-деформованого стану, що може призвести до аварій [15, 32]. Традиційні маркшейдерські методи контролю (вимірювання конвергенції, зміщення та нахилу) поступово замінюються автоматизованими системами, які фіксують зміни геометрії в режимі реального часу. Такі системи базуються на волоконно-оптичних датчиках, лазерних нівелірах та інклінометрах, які з'єднані мережею передачі даних [30]. Це дозволяє не тільки спостерігати за станом виробок, але й прогнозувати критичні відхилення.</w:t>
      </w:r>
    </w:p>
    <w:p>
      <w:pPr>
        <w:spacing w:line="360" w:lineRule="auto"/>
        <w:jc w:val="both"/>
        <w:rPr>
          <w:sz w:val="28"/>
          <w:szCs w:val="28"/>
        </w:rPr>
      </w:pPr>
      <w:r>
        <w:rPr>
          <w:sz w:val="28"/>
          <w:szCs w:val="28"/>
        </w:rPr>
        <w:tab/>
        <w:t>Важливим аспектом забезпечення безпеки є моніторинг стану відвалів породних порід, водяних черепах та хвостосховищ, які становлять потенційну екологічну загрозу через можливі зсуви, самозаймання або прориви в насипах. Маркувальні дослідження дозволяють визначати зміни контурів відвалів, оцінювати обсяги накопичених мас та контролювати схили [34]. Використання безпілотних літальних апаратів для аерофотозйомки забезпечує регулярні та високоточні спостереження, одночасно знижуючи ризики для персоналу [38]. У поєднанні з аналізом супутникових даних це створює ефективну систему раннього попередження про зсуви [36].</w:t>
      </w:r>
    </w:p>
    <w:p>
      <w:pPr>
        <w:spacing w:line="360" w:lineRule="auto"/>
        <w:jc w:val="both"/>
        <w:rPr>
          <w:sz w:val="28"/>
          <w:szCs w:val="28"/>
        </w:rPr>
      </w:pPr>
      <w:r>
        <w:rPr>
          <w:sz w:val="28"/>
          <w:szCs w:val="28"/>
        </w:rPr>
        <w:tab/>
        <w:t>До аспекту безпеки маркшейдерських робіт також належить організація шляхів евакуації, систем вентиляції та розташування підземних комунікацій. Завдяки точним геометричним даним, отриманим маркшейдером, створюються карти та моделі, які використовуються рятувальними службами у разі надзвичайної ситуації [40]. У сучасних системах управління шахтами ці моделі інтегровані в єдину цифрову платформу, що дозволяє швидко орієнтуватися в підземному просторі, визначати шляхи евакуації та місця потенційних обвалів [43].</w:t>
      </w:r>
    </w:p>
    <w:p>
      <w:pPr>
        <w:spacing w:line="360" w:lineRule="auto"/>
        <w:jc w:val="both"/>
        <w:rPr>
          <w:sz w:val="28"/>
          <w:szCs w:val="28"/>
        </w:rPr>
      </w:pPr>
      <w:r>
        <w:rPr>
          <w:sz w:val="28"/>
          <w:szCs w:val="28"/>
        </w:rPr>
        <w:tab/>
        <w:t>Особлива увага приділяється оцінці впливу закритих шахт на навколишнє середовище. У багатьох регіонах, де шахти припинили роботу, залишаються відкриті виробки, порушені гідрогеологічні зв'язки, можливі обвали поверхні [41]. Маркшефські служби контролюють стан таких об'єктів, використовуючи комбінацію традиційних вимірювань та сучасних технологій дистанційного зондування. Зокрема, результати спостережень InSAR у Криворізькій та Донецькій областях свідчать про те, що процеси просідання тривають протягом 10–15 років після закриття шахт [42]. Це вимагає продовження систематичного спостереження навіть після завершення експлуатації родовищ.</w:t>
      </w:r>
    </w:p>
    <w:p>
      <w:pPr>
        <w:spacing w:line="360" w:lineRule="auto"/>
        <w:jc w:val="both"/>
        <w:rPr>
          <w:sz w:val="28"/>
          <w:szCs w:val="28"/>
        </w:rPr>
      </w:pPr>
      <w:r>
        <w:rPr>
          <w:sz w:val="28"/>
          <w:szCs w:val="28"/>
        </w:rPr>
        <w:tab/>
        <w:t>Однією з сучасних тенденцій є перехід від реактивного до превентивного підходу в геодезії для безпеки. Якщо раніше основна увага приділялася фіксації наслідків деформацій, то зараз акцент зміщується на прогнозування завдяки цифровим технологіям [44]. Використання штучного інтелекту, машинного навчання та математичних моделей напружено-деформованого стану гірських порід дозволяє прогнозувати розвиток критичних процесів задовго до їх прояву [46]. У майбутньому такі системи дозволять автоматично надсилати сповіщення керівництву шахти та службам безпеки, що значно знизить ризик нещасних випадків.</w:t>
      </w:r>
    </w:p>
    <w:p>
      <w:pPr>
        <w:spacing w:line="360" w:lineRule="auto"/>
        <w:jc w:val="both"/>
        <w:rPr>
          <w:sz w:val="28"/>
          <w:szCs w:val="28"/>
        </w:rPr>
      </w:pPr>
      <w:r>
        <w:rPr>
          <w:sz w:val="28"/>
          <w:szCs w:val="28"/>
        </w:rPr>
        <w:tab/>
        <w:t>У ширшому контексті маркшейдерія відіграє інтегративну роль між гірничою справою та екологічною безпекою. Вона забезпечує науково обґрунтоване планування робіт, оцінку ризиків, прогнозування наслідків та контроль впливу на навколишнє середовище [47]. У контексті прагнення України до сталого розвитку та екологічної модернізації промисловості ця функція набуває стратегічного значення. Завдяки маркшейдерським дослідженням можна створювати балансові моделі технологічних об'єктів, прогнозувати просідання, розраховувати обсяги матеріалів, що потребують рекультивації, та визначати оптимальні умови їх використання [48, 49].</w:t>
      </w:r>
    </w:p>
    <w:p>
      <w:pPr>
        <w:spacing w:line="360" w:lineRule="auto"/>
        <w:jc w:val="both"/>
        <w:rPr>
          <w:sz w:val="28"/>
          <w:szCs w:val="28"/>
        </w:rPr>
      </w:pPr>
      <w:r>
        <w:rPr>
          <w:sz w:val="28"/>
          <w:szCs w:val="28"/>
        </w:rPr>
        <w:tab/>
        <w:t>Тому екологічні та безпекові аспекти маркшейдерських робіт є комплексною галуззю, яка поєднує точність вимірювань, глибоке розуміння гірничо-геологічних процесів та застосування сучасних технологій прогнозування. Інтеграція класичних та цифрових методів забезпечує сталий розвиток гірничодобувної промисловості, захищає навколишнє середовище та рятує життя. Український досвід, зокрема в Криворізькому регіоні, підтверджує, що поєднання маркшейдерії, екології та безпеки створює основу для модернізації всієї гірничодобувної промисловості [50].</w:t>
      </w:r>
    </w:p>
    <w:p>
      <w:pPr>
        <w:spacing w:line="360" w:lineRule="auto"/>
        <w:jc w:val="center"/>
        <w:rPr>
          <w:sz w:val="28"/>
          <w:szCs w:val="28"/>
        </w:rPr>
      </w:pPr>
      <w:r>
        <w:rPr>
          <w:noProof/>
        </w:rPr>
        <w:drawing>
          <wp:anchor distT="0" distB="0" distL="0" distR="0" simplePos="0" relativeHeight="251658248" behindDoc="0" locked="0" layoutInCell="0" hidden="0" allowOverlap="1">
            <wp:simplePos x="0" y="0"/>
            <wp:positionH relativeFrom="column">
              <wp:align>center</wp:align>
            </wp:positionH>
            <wp:positionV relativeFrom="paragraph">
              <wp:posOffset>635</wp:posOffset>
            </wp:positionV>
            <wp:extent cx="6120130" cy="5788660"/>
            <wp:effectExtent l="0" t="0" r="0" b="0"/>
            <wp:wrapSquare wrapText="largest"/>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a:extLst>
                        <a:ext uri="sm">
                          <sm:smNativeData xmlns:sm="sm" val="SMDATA_16_4Zz2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xAAAAAKIAAAMAAAAAAAAAAgAAAAIAAAAAAAAAAAAAAAIAAAABAAAApiUAAJwjAAAVAAAApQYAAGgKAAAoAAAACAAAAAEAAAABAAAA"/>
                        </a:ext>
                      </a:extLst>
                    </pic:cNvPicPr>
                  </pic:nvPicPr>
                  <pic:blipFill>
                    <a:blip r:embed="rId11"/>
                    <a:stretch>
                      <a:fillRect/>
                    </a:stretch>
                  </pic:blipFill>
                  <pic:spPr>
                    <a:xfrm>
                      <a:off x="0" y="0"/>
                      <a:ext cx="6120130" cy="5788660"/>
                    </a:xfrm>
                    <a:prstGeom prst="rect">
                      <a:avLst/>
                    </a:prstGeom>
                    <a:noFill/>
                    <a:ln w="9525">
                      <a:noFill/>
                    </a:ln>
                  </pic:spPr>
                </pic:pic>
              </a:graphicData>
            </a:graphic>
          </wp:anchor>
        </w:drawing>
      </w:r>
      <w:r>
        <w:rPr>
          <w:sz w:val="28"/>
          <w:szCs w:val="28"/>
        </w:rPr>
        <w:t>Рисунок 1.4: Екологічні та безпекові аспекти маркшейдерських</w:t>
      </w:r>
      <w:r>
        <w:rPr>
          <w:sz w:val="28"/>
          <w:szCs w:val="28"/>
        </w:rPr>
        <w:t xml:space="preserve"> робіт</w:t>
      </w:r>
      <w:r>
        <w:rPr>
          <w:sz w:val="28"/>
          <w:szCs w:val="28"/>
          <w:lang w:val="en-us"/>
        </w:rPr>
        <w:t>[54].</w:t>
      </w:r>
      <w:r>
        <w:rPr>
          <w:sz w:val="28"/>
          <w:szCs w:val="28"/>
        </w:rPr>
      </w:r>
    </w:p>
    <w:p>
      <w:pPr>
        <w:spacing w:line="360" w:lineRule="auto"/>
        <w:jc w:val="center"/>
        <w:rPr>
          <w:b/>
          <w:bCs/>
          <w:sz w:val="28"/>
          <w:szCs w:val="28"/>
          <w:lang w:val="en-us"/>
        </w:rPr>
      </w:pPr>
      <w:r>
        <w:rPr>
          <w:b/>
          <w:bCs/>
          <w:sz w:val="28"/>
          <w:szCs w:val="28"/>
          <w:lang w:val="en-us"/>
        </w:rPr>
        <w:t>1.5. Перспективи розвитку</w:t>
      </w:r>
      <w:r>
        <w:rPr>
          <w:b/>
          <w:bCs/>
          <w:sz w:val="28"/>
          <w:szCs w:val="28"/>
        </w:rPr>
        <w:t xml:space="preserve"> маркшейдерії </w:t>
      </w:r>
      <w:r>
        <w:rPr>
          <w:b/>
          <w:bCs/>
          <w:sz w:val="28"/>
          <w:szCs w:val="28"/>
          <w:lang w:val="en-us"/>
        </w:rPr>
        <w:t>в контексті сталого гірничодобувного виробництва</w:t>
      </w:r>
      <w:r>
        <w:rPr>
          <w:b/>
          <w:bCs/>
          <w:sz w:val="28"/>
          <w:szCs w:val="28"/>
          <w:lang w:val="en-us"/>
        </w:rPr>
      </w:r>
    </w:p>
    <w:p>
      <w:pPr>
        <w:spacing w:line="360" w:lineRule="auto"/>
        <w:jc w:val="both"/>
        <w:rPr>
          <w:sz w:val="28"/>
          <w:szCs w:val="28"/>
          <w:lang w:val="en-us"/>
        </w:rPr>
      </w:pPr>
      <w:r>
        <w:rPr>
          <w:sz w:val="28"/>
          <w:szCs w:val="28"/>
          <w:lang w:val="en-us"/>
        </w:rPr>
        <w:tab/>
        <w:t>Як наукова та прикладна дисципліна, маркшейдерія зараз переживає період глибокої модернізації, що зумовлено світовими тенденціями сталого розвитку гірничодобувної промисловості. Сучасне виробництво все більше орієнтоване не лише на ефективність видобутку, але й на збереження навколишнього середовища, енергоефективність та соціальну безпеку [2, 9, 19]. У цьому контексті маркшейдерське забезпечення є стратегічним інструментом інтеграції технологічних, екологічних та безпекових аспектів в єдину систему управління гірничодобувними підприємствами [23].</w:t>
      </w:r>
    </w:p>
    <w:p>
      <w:pPr>
        <w:spacing w:line="360" w:lineRule="auto"/>
        <w:jc w:val="both"/>
        <w:rPr>
          <w:sz w:val="28"/>
          <w:szCs w:val="28"/>
          <w:lang w:val="en-us"/>
        </w:rPr>
      </w:pPr>
      <w:r>
        <w:rPr>
          <w:sz w:val="28"/>
          <w:szCs w:val="28"/>
          <w:lang w:val="en-us"/>
        </w:rPr>
        <w:tab/>
        <w:t>Перспективи розвитку маркшейдерії безпосередньо пов'язані з впровадженням цифрових двійників шахт і кар'єрів - віртуальних моделей, що відображають усі процеси реального виробництва в режимі реального часу [25]. Такі системи дозволяють не лише відтворювати геометрію виробок, але й моделювати поведінку гірського масиву, оцінювати стан напружень та деформацій, а також прогнозувати наслідки технологічних дій [31]. Це особливо актуально для України в умовах старіння шахтної інфраструктури, де кожна помилка в плануванні чи контролі може призвести до аварії або екологічної шкоди. Цифрові двійники стають інструментом активного управління ризиками [33, 37].</w:t>
      </w:r>
    </w:p>
    <w:p>
      <w:pPr>
        <w:spacing w:line="360" w:lineRule="auto"/>
        <w:jc w:val="both"/>
        <w:rPr>
          <w:sz w:val="28"/>
          <w:szCs w:val="28"/>
          <w:lang w:val="en-us"/>
        </w:rPr>
      </w:pPr>
      <w:r>
        <w:rPr>
          <w:sz w:val="28"/>
          <w:szCs w:val="28"/>
          <w:lang w:val="en-us"/>
        </w:rPr>
        <w:tab/>
        <w:t>Ще одним перспективним напрямком є ​​розробка інтегрованих інформаційних платформ для даних гірничого виробництва, де об'єднуються результати вимірювань, геологічна, геофізична та гідрогеологічна інформація, а також дані з дронів та супутників [24, 40]. Створення таких баз даних дозволяє уникнути дублювання інформації, забезпечити прозорість та просторову узгодженість між усіма учасниками виробничого процесу. У поєднанні з технологіями,</w:t>
      </w:r>
      <w:r>
        <w:rPr>
          <w:sz w:val="28"/>
          <w:szCs w:val="28"/>
        </w:rPr>
        <w:t xml:space="preserve"> </w:t>
      </w:r>
      <w:r>
        <w:rPr>
          <w:sz w:val="28"/>
          <w:szCs w:val="28"/>
        </w:rPr>
        <w:t>які з’являться в майбутньому</w:t>
      </w:r>
      <w:r>
        <w:rPr>
          <w:sz w:val="28"/>
          <w:szCs w:val="28"/>
        </w:rPr>
        <w:t xml:space="preserve"> </w:t>
      </w:r>
      <w:r>
        <w:rPr>
          <w:sz w:val="28"/>
          <w:szCs w:val="28"/>
          <w:lang w:val="en-us"/>
        </w:rPr>
        <w:t>такі системи можуть автоматично виявляти аномалії, прогнозувати ризики та генерувати рекомендації для керівників виробництва [27, 41].</w:t>
      </w:r>
      <w:r>
        <w:rPr>
          <w:sz w:val="28"/>
          <w:szCs w:val="28"/>
          <w:lang w:val="en-us"/>
        </w:rPr>
      </w:r>
    </w:p>
    <w:p>
      <w:pPr>
        <w:spacing w:line="360" w:lineRule="auto"/>
        <w:jc w:val="both"/>
        <w:rPr>
          <w:sz w:val="28"/>
          <w:szCs w:val="28"/>
          <w:lang w:val="en-us"/>
        </w:rPr>
      </w:pPr>
      <w:r>
        <w:rPr>
          <w:sz w:val="28"/>
          <w:szCs w:val="28"/>
          <w:lang w:val="en-us"/>
        </w:rPr>
        <w:tab/>
        <w:t xml:space="preserve">У найближчому майбутньому </w:t>
      </w:r>
      <w:r>
        <w:rPr>
          <w:sz w:val="28"/>
          <w:szCs w:val="28"/>
        </w:rPr>
        <w:t>маркшейдерія</w:t>
      </w:r>
      <w:r>
        <w:rPr>
          <w:sz w:val="28"/>
          <w:szCs w:val="28"/>
          <w:lang w:val="en-us"/>
        </w:rPr>
        <w:t xml:space="preserve"> все частіше використовуватиме технології автоматизованого моніторингу. Вже сьогодні на низці українських шахт впроваджено сенсорні мережі, які автоматично вимірюють переміщення, вібрації, температуру та вологість у підземних виробках [22, 30]. Подальший розвиток таких систем дозволить перейти від періодичних перевірок до постійного моніторингу технологічного середовища, тим самим підвищуючи безпеку праці та зменшуючи ризик нещасних випадків.</w:t>
      </w:r>
      <w:r>
        <w:rPr>
          <w:sz w:val="28"/>
          <w:szCs w:val="28"/>
          <w:lang w:val="en-us"/>
        </w:rPr>
      </w:r>
    </w:p>
    <w:p>
      <w:pPr>
        <w:spacing w:line="360" w:lineRule="auto"/>
        <w:jc w:val="both"/>
        <w:rPr>
          <w:sz w:val="28"/>
          <w:szCs w:val="28"/>
          <w:lang w:val="en-us"/>
        </w:rPr>
      </w:pPr>
      <w:r>
        <w:rPr>
          <w:sz w:val="28"/>
          <w:szCs w:val="28"/>
          <w:lang w:val="en-us"/>
        </w:rPr>
        <w:tab/>
        <w:t>Важливою тенденцією є розвиток методів дистанційного зондування, насамперед супутникової інтерферометрії (InSAR), аерофотозйомки та технологій дронів [18, 32, 35]. Ці технології дозволяють проводити масштабний моніторинг просідання та деформацій у промислових зонах, де традиційні наземні методи економічно недоцільні. Ці технології дозволяють інтегрувати гірничі дослідження в національні програми моніторингу навколишнього середовища та сталого управління земельними ресурсами [43].</w:t>
      </w:r>
    </w:p>
    <w:p>
      <w:pPr>
        <w:spacing w:line="360" w:lineRule="auto"/>
        <w:jc w:val="both"/>
        <w:rPr>
          <w:sz w:val="28"/>
          <w:szCs w:val="28"/>
          <w:lang w:val="en-us"/>
        </w:rPr>
      </w:pPr>
      <w:r>
        <w:rPr>
          <w:sz w:val="28"/>
          <w:szCs w:val="28"/>
          <w:lang w:val="en-us"/>
        </w:rPr>
        <w:tab/>
        <w:t>Однак важливо визнати, що технічні інновації повинні супроводжуватися оновленням нормативно-правової бази та розвитком людських ресурсів. Без адаптації чинних інструкцій та стандартів до умов цифрового землевпорядкування впровадження нових технологій може бути фрагментарним [16, 21]. Необхідно створити сучасні державні стандарти, що враховують особливості автоматизованих систем, ГІС-платформ та лазерного сканування, а також передбачити систему сертифікації обладнання та спеціалістів [28].</w:t>
      </w:r>
    </w:p>
    <w:p>
      <w:pPr>
        <w:spacing w:line="360" w:lineRule="auto"/>
        <w:jc w:val="both"/>
        <w:rPr>
          <w:sz w:val="28"/>
          <w:szCs w:val="28"/>
          <w:lang w:val="en-us"/>
        </w:rPr>
      </w:pPr>
      <w:r>
        <w:rPr>
          <w:sz w:val="28"/>
          <w:szCs w:val="28"/>
          <w:lang w:val="en-us"/>
        </w:rPr>
        <w:tab/>
        <w:t>Одним із ключових напрямків майбутнього розвитку є впровадження принципів сталого гірничого виробництва, які передбачають мінімізацію технологічного впливу, ефективне використання ресурсів та поступове відновлення порушених земель [36]. Інженери-геодезисти стають невід'ємною частиною екологічного планування, розробляють моделі для стабілізації видобувних територій, а також моніторять зміни ландшафту та стану ґрунтових вод [44]. Ці підходи сприяють переходу від експлуататорської моделі видобутку корисних копалин до збалансованої, де економічна прибутковість поєднується з екологічною відповідальністю.</w:t>
      </w:r>
    </w:p>
    <w:p>
      <w:pPr>
        <w:spacing w:line="360" w:lineRule="auto"/>
        <w:jc w:val="both"/>
        <w:rPr>
          <w:sz w:val="28"/>
          <w:szCs w:val="28"/>
          <w:lang w:val="en-us"/>
        </w:rPr>
      </w:pPr>
      <w:r>
        <w:rPr>
          <w:sz w:val="28"/>
          <w:szCs w:val="28"/>
          <w:lang w:val="en-us"/>
        </w:rPr>
        <w:tab/>
        <w:t>Наукові перспективи геодезії пов'язані з розвитком штучного інтелекту та прогнозного моделювання геомеханічних процесів. Використання нейронних мереж та машинного навчання дозволить створювати адаптивні моделі поведінки гірського масиву, які автоматично оновлюватимуться на основі даних моніторингу [38, 45]. Це відкриває шлях для створення «інтелектуальних» шахт, де система автоматично попереджатиме оператора про потенційні ризики та пропонуватиме оптимальні плани дій [46].</w:t>
      </w:r>
    </w:p>
    <w:p>
      <w:pPr>
        <w:spacing w:line="360" w:lineRule="auto"/>
        <w:jc w:val="both"/>
        <w:rPr>
          <w:sz w:val="28"/>
          <w:szCs w:val="28"/>
          <w:lang w:val="en-us"/>
        </w:rPr>
      </w:pPr>
      <w:r>
        <w:rPr>
          <w:sz w:val="28"/>
          <w:szCs w:val="28"/>
          <w:lang w:val="en-us"/>
        </w:rPr>
        <w:tab/>
        <w:t>Тому розвиток геодезії в контексті сталого гірничого виробництва передбачає поєднання технологічних інновацій, цифрової інтеграції та екологічної відповідальності. Сервіси Markeysherdy трансформуються в аналітичні центри для управління гірничодобувними процесами, забезпечуючи безпечне, ефективне та екологічно стале використання природних ресурсів. Для України, особливо для регіонів з потужною гірничодобувною базою, таких як Кривий Ріг, ця еволюція є важливою для довгострокової стабільності та конкурентоспроможності гірничодобувної промисловості [47, 49].</w:t>
      </w:r>
    </w:p>
    <w:p>
      <w:pPr>
        <w:spacing w:line="360" w:lineRule="auto"/>
        <w:jc w:val="center"/>
        <w:rPr>
          <w:b/>
          <w:bCs/>
          <w:sz w:val="28"/>
          <w:szCs w:val="28"/>
        </w:rPr>
      </w:pPr>
      <w:r>
        <w:br w:type="page"/>
      </w:r>
      <w:r>
        <w:rPr>
          <w:b/>
          <w:bCs/>
          <w:sz w:val="28"/>
          <w:szCs w:val="28"/>
        </w:rPr>
        <w:t>2. Класичні методи маркшейдерських робіт</w:t>
      </w:r>
      <w:r>
        <w:rPr>
          <w:b/>
          <w:bCs/>
          <w:sz w:val="28"/>
          <w:szCs w:val="28"/>
        </w:rPr>
      </w:r>
    </w:p>
    <w:p>
      <w:pPr>
        <w:spacing w:line="360" w:lineRule="auto"/>
        <w:jc w:val="center"/>
        <w:rPr>
          <w:b/>
          <w:bCs/>
          <w:sz w:val="28"/>
          <w:szCs w:val="28"/>
        </w:rPr>
      </w:pPr>
      <w:r>
        <w:rPr>
          <w:b/>
          <w:bCs/>
          <w:sz w:val="28"/>
          <w:szCs w:val="28"/>
        </w:rPr>
        <w:t>2.1. Традиційні прилади та методи вимірювання в підземних умовах.</w:t>
      </w:r>
    </w:p>
    <w:p>
      <w:pPr>
        <w:spacing w:line="360" w:lineRule="auto"/>
        <w:jc w:val="both"/>
        <w:rPr>
          <w:sz w:val="28"/>
          <w:szCs w:val="28"/>
        </w:rPr>
      </w:pPr>
      <w:r>
        <w:rPr>
          <w:sz w:val="28"/>
          <w:szCs w:val="28"/>
        </w:rPr>
        <w:tab/>
        <w:t>Історія розвитку маркшейдерії - це історія еволюції технічної думки, точності вимірювань та відповідальності людини за безпечне використання природних ресурсів. Протягом кількох століть гірнича маркшейдерія розвивалася як ключова галузь гірничої справи, без якої було б неможливо здійснювати раціональне проектування та експлуатацію гірничих споруд. Витоки методів маркшейдерії сягають раннього промислового розвитку Європи, коли були зроблені перші спроби систематизувати вимірювання підземних виробок [1, 5, 18].</w:t>
      </w:r>
    </w:p>
    <w:p>
      <w:pPr>
        <w:spacing w:line="360" w:lineRule="auto"/>
        <w:jc w:val="both"/>
        <w:rPr>
          <w:sz w:val="28"/>
          <w:szCs w:val="28"/>
        </w:rPr>
      </w:pPr>
      <w:r>
        <w:rPr>
          <w:sz w:val="28"/>
          <w:szCs w:val="28"/>
        </w:rPr>
        <w:tab/>
        <w:t>Перші методи маркшейдерії базувалися на механічних методах вимірювання, таких як використання компасів, гіроскопів, вимірювальних ліній та буїв. Ці інструменти дозволяли орієнтувати виробки відносно поверхні, визначати напрямки галерей та глибину шахт [7]. У міру розвитку гірничої справи у 18-му та 19-му століттях з'явилися точніші інструменти - оптичні теодоліти та нівеліри, які стали основою класичної маркшейдерії [9, 23]. Саме в цей період сформувалися перші стандарти побудови планіметричних та альтиметричних мереж, що дозволило пов'язати підземні вимірювання з наземною геодезичною мережею [12].</w:t>
      </w:r>
    </w:p>
    <w:p>
      <w:pPr>
        <w:spacing w:line="360" w:lineRule="auto"/>
        <w:jc w:val="both"/>
        <w:rPr>
          <w:sz w:val="28"/>
          <w:szCs w:val="28"/>
        </w:rPr>
      </w:pPr>
      <w:r>
        <w:rPr>
          <w:sz w:val="28"/>
          <w:szCs w:val="28"/>
        </w:rPr>
        <w:tab/>
        <w:t>У другій половині 19 століття виникли наукові школи геодезії в Німеччині, Чехії, Польщі. Значний внесок зробили праці Гаусса, Бесселя та Бруно, а також українських інженерів, зокрема, фахівців з шахт Кривого Рогу та вугільних шахт Донбасу [14, 25]. У цей період вперше були сформульовані поняття «розмічувального полігону», «підземного нівелювання» та «перенесення координат з поверхні», а також розроблені математичні методи нівелірних вимірювань [16].</w:t>
      </w:r>
    </w:p>
    <w:p>
      <w:pPr>
        <w:spacing w:line="360" w:lineRule="auto"/>
        <w:jc w:val="both"/>
        <w:rPr>
          <w:sz w:val="28"/>
          <w:szCs w:val="28"/>
        </w:rPr>
      </w:pPr>
      <w:r>
        <w:rPr>
          <w:sz w:val="28"/>
          <w:szCs w:val="28"/>
        </w:rPr>
        <w:tab/>
        <w:t>Початок 20 століття ознаменувався епохою класичної геодезії, коли основою роботи були кутові та лінійні вимірювання за допомогою теодолітів та рулеток. Саме в цей час були розроблені традиційні методи, такі як теодолітна зйомка, полігонометрія, нівелювання четвертого класу та компасна зйомка [20]. Ці методи забезпечували достатню точність для потреб гірничодобувної промисловості того часу. У Кривбасі та Донбасі активно розвивалися школи практичної геодезії, які готували спеціалістів для проектування шахт, залізничних колій та промислових об'єктів [22, 27].</w:t>
      </w:r>
    </w:p>
    <w:p>
      <w:pPr>
        <w:spacing w:line="360" w:lineRule="auto"/>
        <w:jc w:val="both"/>
        <w:rPr>
          <w:sz w:val="28"/>
          <w:szCs w:val="28"/>
        </w:rPr>
      </w:pPr>
      <w:r>
        <w:rPr>
          <w:sz w:val="28"/>
          <w:szCs w:val="28"/>
        </w:rPr>
        <w:tab/>
        <w:t>Велике значення мало створення перших державних інструкцій маркшейдерів, які регламентували порядок геодезичних досліджень та обробки вимірювань. У 1930-х і 1950-х роках були видані інструкції, що встановлювали суворі норми точності та організації. Саме в цей час було запроваджено поняття точності гірничих робіт - відношення допустимої похибки до довжини прогону або сторони полігону [28]. Норми, розроблені на той час, залишалися чинними протягом десятиліть і лягли в основу подальшого розвитку української системи геодезичного дослідження [30].</w:t>
      </w:r>
    </w:p>
    <w:p>
      <w:pPr>
        <w:spacing w:line="360" w:lineRule="auto"/>
        <w:jc w:val="both"/>
        <w:rPr>
          <w:sz w:val="28"/>
          <w:szCs w:val="28"/>
        </w:rPr>
      </w:pPr>
      <w:r>
        <w:rPr>
          <w:sz w:val="28"/>
          <w:szCs w:val="28"/>
        </w:rPr>
        <w:tab/>
        <w:t>Класичні методи характеризувалися високим рівнем ручної праці. Усі вимірювання виконувалися безпосередньо у виробках, за складних умов освітлення та мікроклімату. Результати записувалися в польові журнали, після чого розрахунки виконувалися вручну або за допомогою логарифмічних лінійок [19]. Незважаючи на складність, ці методи давали достовірні результати, оскільки кожен геодезист особисто контролював процес і ніс відповідальність за кінцеву точність. Це була унікальна школа професійної точності та відповідальності, яка зараз вважається класичною спадщиною [35].</w:t>
      </w:r>
    </w:p>
    <w:p>
      <w:pPr>
        <w:spacing w:line="360" w:lineRule="auto"/>
        <w:jc w:val="both"/>
        <w:rPr>
          <w:sz w:val="28"/>
          <w:szCs w:val="28"/>
        </w:rPr>
      </w:pPr>
      <w:r>
        <w:rPr>
          <w:sz w:val="28"/>
          <w:szCs w:val="28"/>
        </w:rPr>
        <w:tab/>
        <w:t>У повоєнні роки маркшейдерія</w:t>
      </w:r>
      <w:r>
        <w:rPr>
          <w:sz w:val="28"/>
          <w:szCs w:val="28"/>
        </w:rPr>
        <w:t xml:space="preserve"> модернізувалася завдяки електронним та оптико-механічним приладам. У 1960-х та 1980-х роках з'явилися та</w:t>
      </w:r>
      <w:r>
        <w:rPr>
          <w:sz w:val="28"/>
          <w:szCs w:val="28"/>
        </w:rPr>
        <w:t>хе</w:t>
      </w:r>
      <w:r>
        <w:rPr>
          <w:sz w:val="28"/>
          <w:szCs w:val="28"/>
        </w:rPr>
        <w:t>ометри, що поєднували функції теодоліта та далекоміра, а також перші фотоелектронні системи для вимірювання відстаней [21, 33]. Це був прорив у підвищенні точності та продуктивності роботи. У цей період Криворізький гірничий інститут (нині Криворізький національний університет) активно розробляв методи комбінованих підземних досліджень, поєднуючи оптичні вимірювання з фотографуванням та розрахунками на електронних калькуляторах [37].</w:t>
      </w:r>
      <w:r>
        <w:rPr>
          <w:sz w:val="28"/>
          <w:szCs w:val="28"/>
        </w:rPr>
      </w:r>
    </w:p>
    <w:p>
      <w:pPr>
        <w:spacing w:line="360" w:lineRule="auto"/>
        <w:jc w:val="both"/>
        <w:rPr>
          <w:sz w:val="28"/>
          <w:szCs w:val="28"/>
        </w:rPr>
      </w:pPr>
      <w:r>
        <w:rPr>
          <w:sz w:val="28"/>
          <w:szCs w:val="28"/>
        </w:rPr>
        <w:tab/>
        <w:t>До кінця 20 століття почалася автоматизація гірничих процесів. Поява електронних теодолітів та перших комп'ютерних програм (зокрема комплексів "GeoMark", "Markshideria" та "AutoCAD") дозволила перейти до цифрового зберігання результатів [26, 38]. Це ознаменувало початок нової ери - переходу від паперової документації до електронної бази даних. Однак основна методологія роботи залишалася традиційною: польові вимірювання, лабораторний контроль, розрахунок координат та ручна або напівавтоматична побудова планів [29].</w:t>
      </w:r>
    </w:p>
    <w:p>
      <w:pPr>
        <w:spacing w:line="360" w:lineRule="auto"/>
        <w:jc w:val="both"/>
        <w:rPr>
          <w:sz w:val="28"/>
          <w:szCs w:val="28"/>
        </w:rPr>
      </w:pPr>
      <w:r>
        <w:rPr>
          <w:sz w:val="28"/>
          <w:szCs w:val="28"/>
        </w:rPr>
        <w:tab/>
        <w:t>У незалежній Україні класичні методи залишалися основою, оскільки більшість шахт продовжували працювати на обладнанні радянських часів. Тим часом розпочався процес адаптації міжнародних стандартів, насамперед ISO та європейських стандартів безпеки, які вимагають інтеграції маркшейдерських та геодезичних систем [34]. Українські вчені активно працювали над створенням власних підходів до контролю стійкості гірничих споруд, оцінки точності передачі координат та використання супутникових технологій у маркшейдерських роботах [39, 40].</w:t>
      </w:r>
    </w:p>
    <w:p>
      <w:pPr>
        <w:spacing w:line="360" w:lineRule="auto"/>
        <w:jc w:val="both"/>
        <w:rPr>
          <w:sz w:val="28"/>
          <w:szCs w:val="28"/>
        </w:rPr>
      </w:pPr>
      <w:r>
        <w:rPr>
          <w:sz w:val="28"/>
          <w:szCs w:val="28"/>
        </w:rPr>
        <w:tab/>
        <w:t>Криворізький регіон відіграв особливо важливу роль у формуванні національної маркшейдерської школи. Саме тут було закладено фундамент для багаторічних практичних досліджень планіметричної та альтиметричної маркшейдерської зйомки шахт, кар'єрів та промислових комплексів. Робота місцевих експертів та викладачів лягла в основу підготовки фахівців з маркшейдерської справи, а методики, розроблені в Кривому Розі, використовуються й сьогодні [43, 47].</w:t>
      </w:r>
    </w:p>
    <w:p>
      <w:pPr>
        <w:spacing w:line="360" w:lineRule="auto"/>
        <w:jc w:val="both"/>
        <w:rPr>
          <w:sz w:val="28"/>
          <w:szCs w:val="28"/>
        </w:rPr>
      </w:pPr>
      <w:r>
        <w:rPr>
          <w:sz w:val="28"/>
          <w:szCs w:val="28"/>
        </w:rPr>
        <w:tab/>
        <w:t>Незважаючи на технологічний прогрес, класичні методи залишаються актуальними як основа для тестування, калібрування та керування сучасними цифровими системами. Вони формують інженерну культуру точності, яка не втрачає своєї цінності в епоху автоматизації. Поєднання класичних та сучасних методів забезпечує стабільність та надійність геодезичних робіт за будь-яких умов [44, 49].</w:t>
      </w:r>
    </w:p>
    <w:p>
      <w:pPr>
        <w:spacing w:line="360" w:lineRule="auto"/>
        <w:jc w:val="both"/>
        <w:rPr>
          <w:sz w:val="28"/>
          <w:szCs w:val="28"/>
        </w:rPr>
      </w:pPr>
      <w:r>
        <w:rPr>
          <w:sz w:val="28"/>
          <w:szCs w:val="28"/>
        </w:rPr>
        <w:tab/>
        <w:t>Таким чином, історія розвитку маркшейдерії</w:t>
      </w:r>
      <w:r>
        <w:rPr>
          <w:sz w:val="28"/>
          <w:szCs w:val="28"/>
        </w:rPr>
        <w:t xml:space="preserve"> - це еволюція від механічних інструментів до цифрових технологій, від ручної праці до аналітичних систем управління просторовими даними. Однак головний принцип професії залишається незмінним: точність, відповідальність та безпека. Без знання класичних методів неможливо зрозуміти сучасну </w:t>
      </w:r>
      <w:r>
        <w:rPr>
          <w:sz w:val="28"/>
          <w:szCs w:val="28"/>
        </w:rPr>
        <w:t>маркшейдерію</w:t>
      </w:r>
      <w:r>
        <w:rPr>
          <w:sz w:val="28"/>
          <w:szCs w:val="28"/>
        </w:rPr>
        <w:t>, а без сучасних технологій неможливо забезпечити її майбутнє [50].</w:t>
      </w:r>
      <w:r>
        <w:rPr>
          <w:sz w:val="28"/>
          <w:szCs w:val="28"/>
        </w:rPr>
      </w:r>
    </w:p>
    <w:p>
      <w:pPr>
        <w:spacing w:line="360" w:lineRule="auto"/>
        <w:jc w:val="center"/>
        <w:rPr>
          <w:sz w:val="28"/>
          <w:szCs w:val="28"/>
        </w:rPr>
      </w:pPr>
      <w:r>
        <w:rPr>
          <w:noProof/>
        </w:rPr>
        <w:drawing>
          <wp:anchor distT="0" distB="0" distL="0" distR="0" simplePos="0" relativeHeight="251658249" behindDoc="0" locked="0" layoutInCell="0" hidden="0" allowOverlap="1">
            <wp:simplePos x="0" y="0"/>
            <wp:positionH relativeFrom="column">
              <wp:align>center</wp:align>
            </wp:positionH>
            <wp:positionV relativeFrom="paragraph">
              <wp:posOffset>635</wp:posOffset>
            </wp:positionV>
            <wp:extent cx="5171440" cy="2576830"/>
            <wp:effectExtent l="0" t="0" r="0" b="0"/>
            <wp:wrapSquare wrapText="largest"/>
            <wp:docPr id="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pic:cNvPicPr>
                      <a:picLocks noChangeAspect="1"/>
                      <a:extLst>
                        <a:ext uri="sm">
                          <sm:smNativeData xmlns:sm="sm" val="SMDATA_16_4Zz2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KAAAAAKIAAAMAAAAAAAAAAgAAAAIAAAAAAAAAAAAAAAIAAAABAAAA0B8AANoPAAAcAAAAkAkAAPwRAAAoAAAACAAAAAEAAAABAAAA"/>
                        </a:ext>
                      </a:extLst>
                    </pic:cNvPicPr>
                  </pic:nvPicPr>
                  <pic:blipFill>
                    <a:blip r:embed="rId12"/>
                    <a:stretch>
                      <a:fillRect/>
                    </a:stretch>
                  </pic:blipFill>
                  <pic:spPr>
                    <a:xfrm>
                      <a:off x="0" y="0"/>
                      <a:ext cx="5171440" cy="2576830"/>
                    </a:xfrm>
                    <a:prstGeom prst="rect">
                      <a:avLst/>
                    </a:prstGeom>
                    <a:noFill/>
                    <a:ln w="9525">
                      <a:noFill/>
                    </a:ln>
                  </pic:spPr>
                </pic:pic>
              </a:graphicData>
            </a:graphic>
          </wp:anchor>
        </w:drawing>
      </w:r>
      <w:r>
        <w:rPr>
          <w:sz w:val="28"/>
          <w:szCs w:val="28"/>
        </w:rPr>
        <w:t xml:space="preserve">Рисунок 2.1: Хронологія маркшейдерських </w:t>
      </w:r>
      <w:r>
        <w:rPr>
          <w:sz w:val="28"/>
          <w:szCs w:val="28"/>
        </w:rPr>
        <w:t xml:space="preserve">методів для забезпечення безпеки гірничих об'єктів та обладнання </w:t>
      </w:r>
      <w:r>
        <w:rPr>
          <w:sz w:val="28"/>
          <w:szCs w:val="28"/>
          <w:lang w:val="en-us"/>
        </w:rPr>
        <w:t>[55]</w:t>
      </w:r>
      <w:r>
        <w:rPr>
          <w:sz w:val="28"/>
          <w:szCs w:val="28"/>
        </w:rPr>
        <w:t>.</w:t>
      </w:r>
      <w:r>
        <w:rPr>
          <w:sz w:val="28"/>
          <w:szCs w:val="28"/>
        </w:rPr>
      </w:r>
    </w:p>
    <w:p>
      <w:pPr>
        <w:spacing w:line="360" w:lineRule="auto"/>
        <w:jc w:val="center"/>
        <w:rPr>
          <w:b/>
          <w:bCs/>
          <w:sz w:val="28"/>
          <w:szCs w:val="28"/>
        </w:rPr>
      </w:pPr>
      <w:r>
        <w:rPr>
          <w:b/>
          <w:bCs/>
          <w:sz w:val="28"/>
          <w:szCs w:val="28"/>
        </w:rPr>
        <w:t>2.2. Технологія створення планіметричних та альтиметричних мереж у шахтах.</w:t>
      </w:r>
    </w:p>
    <w:p>
      <w:pPr>
        <w:spacing w:line="360" w:lineRule="auto"/>
        <w:jc w:val="both"/>
        <w:rPr>
          <w:sz w:val="28"/>
          <w:szCs w:val="28"/>
        </w:rPr>
      </w:pPr>
      <w:r>
        <w:rPr>
          <w:sz w:val="28"/>
          <w:szCs w:val="28"/>
        </w:rPr>
        <w:tab/>
        <w:t>Планіметрично-альтиметрична мережа є основою будь-якої геодезичної системи. Вона забезпечує просторове позиціонування всіх об'єктів у шахті чи кар'єрі, визначає їх взаємне положення та створює основу для контролю геометричних параметрів виробок. У класичній геодезичній роботі побудова такої мережі здійснювалася відповідно до принципів геодезичної точності, повторюваності вимірювань та перевіреності результатів [4, 9, 18].</w:t>
      </w:r>
    </w:p>
    <w:p>
      <w:pPr>
        <w:spacing w:line="360" w:lineRule="auto"/>
        <w:jc w:val="both"/>
        <w:rPr>
          <w:sz w:val="28"/>
          <w:szCs w:val="28"/>
        </w:rPr>
      </w:pPr>
      <w:r>
        <w:rPr>
          <w:sz w:val="28"/>
          <w:szCs w:val="28"/>
        </w:rPr>
        <w:tab/>
        <w:t>Головною особливістю класичних методів була поетапність побудови мережі: від державної геодезичної системи на поверхні до локальної мережі в підземних виробках. Для досягнення цього спочатку визначалися координати контрольних точок на поверхні, відомих як опорні точки або репери. Їх закріплювали поблизу стволів шахт. Потім координати переносилися під землю за допомогою геометричного нівелювання та вертикальної зйомки [12, 21].</w:t>
      </w:r>
    </w:p>
    <w:p>
      <w:pPr>
        <w:spacing w:line="360" w:lineRule="auto"/>
        <w:jc w:val="both"/>
        <w:rPr>
          <w:sz w:val="28"/>
          <w:szCs w:val="28"/>
        </w:rPr>
      </w:pPr>
      <w:r>
        <w:rPr>
          <w:sz w:val="28"/>
          <w:szCs w:val="28"/>
        </w:rPr>
        <w:tab/>
        <w:t>Планіметрична частина мережі була побудована за допомогою теодолітних зйомок та полігональних мереж. Теодолітні зйомки складалися з послідовності вимірюваних сторін та кутів, що утворювали замкнуті або розімкнуті фігури. Усі кути вимірювалися двічі - в обох напрямках - а відстані вимірювалися за допомогою сталевих рулеток з поправками на температуру та нахил [15, 25]. Результати були проаналізовані, після чого визначені координати точок мережі. Точність замикання перевірялася відповідно до встановлених норм - зазвичай не більше 1:10 000 для шахтних полігонів [28].</w:t>
      </w:r>
    </w:p>
    <w:p>
      <w:pPr>
        <w:spacing w:line="360" w:lineRule="auto"/>
        <w:jc w:val="both"/>
        <w:rPr>
          <w:sz w:val="28"/>
          <w:szCs w:val="28"/>
        </w:rPr>
      </w:pPr>
      <w:r>
        <w:rPr>
          <w:sz w:val="28"/>
          <w:szCs w:val="28"/>
        </w:rPr>
        <w:tab/>
        <w:t>Висотна частина мережі створювалася шляхом нівелювання III–IV класів, залежно від мети роботи та вимог до точності. Геометричне нівелювання виконувалося за допомогою подвійного пробігу, щоб забезпечити контроль похибки та дозволити визначати висотні відмітки між точками з точністю 2–3 мм на 1 км пробігу [19]. Прилади калібрувалися перед кожною зміною, а лінії візування ретельно перевірялися на горизонтальне вирівнювання. Репіри встановлювали в стінах виробок або поблизу опор, заливаючи їх бетоном для стійкості [30].</w:t>
      </w:r>
    </w:p>
    <w:p>
      <w:pPr>
        <w:spacing w:line="360" w:lineRule="auto"/>
        <w:jc w:val="both"/>
        <w:rPr>
          <w:sz w:val="28"/>
          <w:szCs w:val="28"/>
        </w:rPr>
      </w:pPr>
      <w:r>
        <w:rPr>
          <w:sz w:val="28"/>
          <w:szCs w:val="28"/>
        </w:rPr>
        <w:tab/>
        <w:t>Окремим завданням класичної геодезії було перенесення координат з поверхні під землю, що вимагало виняткової точності. Це досягалося за допомогою вертикальних шахт, через які опускалися високоточні інклінометри або оптичні прилади (відомі як шахтні вертикалі) [17, 27]. Передача координат здійснювалася за допомогою спеціальних прийомів для компенсації відхилень ухилу, вібрацій та впливу повітряних потоків у шахті. Це була одна з найскладніших операцій у геодезії, оскільки будь-яка помилка в передачі координат призводила до накопичення систематичних помилок у всій підземній мережі [32].</w:t>
      </w:r>
    </w:p>
    <w:p>
      <w:pPr>
        <w:spacing w:line="360" w:lineRule="auto"/>
        <w:jc w:val="both"/>
        <w:rPr>
          <w:sz w:val="28"/>
          <w:szCs w:val="28"/>
        </w:rPr>
      </w:pPr>
      <w:r>
        <w:rPr>
          <w:sz w:val="28"/>
          <w:szCs w:val="28"/>
        </w:rPr>
        <w:tab/>
        <w:t>У підземних умовах планіметричні та альтиметричні мережі будувалися у вигляді основних теодолітних полігонів, які охоплювали основні виробки - шахти, брембергіси та галереї. Точки фіксувалися спеціальними мітками: сталевими штифтами, шкантами або бетонними монтажними плитками з витисненими номерами [33]. Після створення основної мережі проводилося ущільнення шляхом будівництва додаткових проходів та геодезичних мереж для окремих ділянок. Під час цього процесу близькість показників та баланс помилок суворо контролювалися та вирівнювалися аналітично за допомогою методу найменших квадратів [22, 35].</w:t>
      </w:r>
    </w:p>
    <w:p>
      <w:pPr>
        <w:spacing w:line="360" w:lineRule="auto"/>
        <w:jc w:val="both"/>
        <w:rPr>
          <w:sz w:val="28"/>
          <w:szCs w:val="28"/>
        </w:rPr>
      </w:pPr>
      <w:r>
        <w:rPr>
          <w:sz w:val="28"/>
          <w:szCs w:val="28"/>
        </w:rPr>
        <w:tab/>
        <w:t>Висотні нівелюючі траси з'єднувалися з планіметричними полігонами, утворюючи єдину просторову систему координат для шахти. Для зручності розрахунків на підприємствах часто використовувалися локальні системи координат, в яких нульові точки та осі вибиралися з урахуванням геометрії виробок. Однак завжди зберігався зв'язок з державною геодезичною мережею, оскільки це забезпечувало можливість суміщення підземних даних з топографічними планами поверхні [29].</w:t>
      </w:r>
    </w:p>
    <w:p>
      <w:pPr>
        <w:spacing w:line="360" w:lineRule="auto"/>
        <w:jc w:val="both"/>
        <w:rPr>
          <w:sz w:val="28"/>
          <w:szCs w:val="28"/>
        </w:rPr>
      </w:pPr>
      <w:r>
        <w:rPr>
          <w:sz w:val="28"/>
          <w:szCs w:val="28"/>
        </w:rPr>
        <w:tab/>
        <w:t>Важливою складовою класичних методів була оцінка точності побудованої мережі. Для цього проводилися контрольні вимірювання, порівнювалися спостережувані та розраховані кути, перевірялася замкнутість полігонів. Якщо похибки перевищували допустимі межі, проводилися повторні вимірювання або часткова реконструкція трас [26, 37]. Такий підхід забезпечував надійність гірничотехнічних основ, на яких базувалися всі наступні вишукування та гірничі проекти.</w:t>
      </w:r>
    </w:p>
    <w:p>
      <w:pPr>
        <w:spacing w:line="360" w:lineRule="auto"/>
        <w:jc w:val="both"/>
        <w:rPr>
          <w:sz w:val="28"/>
          <w:szCs w:val="28"/>
        </w:rPr>
      </w:pPr>
      <w:r>
        <w:rPr>
          <w:sz w:val="28"/>
          <w:szCs w:val="28"/>
        </w:rPr>
        <w:tab/>
        <w:t>Слід зазначити, що класичні методи побудови планіметричних мереж характеризувалися високим рівнем стандартизації та нормативності. Усі роботи виконувалися відповідно до державних інструкцій, які визначали правила вимірювань, допуски, порядок обробки результатів та зберігання даних. Зокрема, «Інструкція з маркшейдерських робіт» (видань 1970-х та 1980-х років) містила детальні вимоги до довжин сторін полігону, кутових спостережень, повторення вимірювань та методів нівелювання [20, 38]. Це забезпечувало стандартизований підхід до створення маркшейдерських мереж на всіх шахтах країни.</w:t>
      </w:r>
    </w:p>
    <w:p>
      <w:pPr>
        <w:spacing w:line="360" w:lineRule="auto"/>
        <w:jc w:val="both"/>
        <w:rPr>
          <w:sz w:val="28"/>
          <w:szCs w:val="28"/>
        </w:rPr>
      </w:pPr>
      <w:r>
        <w:rPr>
          <w:sz w:val="28"/>
          <w:szCs w:val="28"/>
        </w:rPr>
        <w:tab/>
        <w:t>У Криворізькій області класичні методи розвивалися особливо активно через специфіку місцевих родовищ, які характеризуються значною глибиною розробки та складними гірничо-геологічними умовами. Саме тут були створені перші локальні тріангуляційні мережі для забезпечення точного контролю стійкості шахтних конструкцій та кріплень [14, 41]. Досвід криворізьких спеціалістів ліг в основу розробки навчальних програм в українських гірничих університетах, де класичні методи викладаються в рамках основної навчальної програми професійної підготовки [42, 47].</w:t>
      </w:r>
    </w:p>
    <w:p>
      <w:pPr>
        <w:spacing w:line="360" w:lineRule="auto"/>
        <w:jc w:val="both"/>
        <w:rPr>
          <w:sz w:val="28"/>
          <w:szCs w:val="28"/>
        </w:rPr>
      </w:pPr>
      <w:r>
        <w:rPr>
          <w:sz w:val="28"/>
          <w:szCs w:val="28"/>
        </w:rPr>
        <w:tab/>
        <w:t>Незважаючи на появу сучасних технологій, традиційні планіметричні та альтиметричні мережі залишаються актуальними як інструмент контролю. У разі виходу з ладу електронного обладнання або втрати сигналу GNSS традиційні методи дозволяють швидко відновити геометричну основу підприємства. Більше того, класичні мережі мають незаперечну перевагу з точки зору довгострокової стабільності - фіксовані точки можуть зберігатися протягом десятиліть, забезпечуючи основу для перевірки результатів цифрових систем [39, 44].</w:t>
      </w:r>
    </w:p>
    <w:p>
      <w:pPr>
        <w:spacing w:line="360" w:lineRule="auto"/>
        <w:jc w:val="both"/>
        <w:rPr>
          <w:sz w:val="28"/>
          <w:szCs w:val="28"/>
        </w:rPr>
      </w:pPr>
      <w:r>
        <w:rPr>
          <w:sz w:val="28"/>
          <w:szCs w:val="28"/>
        </w:rPr>
        <w:tab/>
        <w:t>Тому класичні методи побудови планіметричних мереж стали основою забезпечення геодезичної роботи. Вони поєднують високу точність, легкість перевірки та надійність, що зберігає їхню цінність навіть у цифрову епоху. Ці методи складають основу для інтеграції сучасних автоматизованих технологій, забезпечуючи безперервність у гірничій практиці [45, 50]. Оскільки джерело</w:t>
      </w:r>
      <w:r>
        <w:rPr>
          <w:sz w:val="28"/>
          <w:szCs w:val="28"/>
          <w:lang w:val="en-us"/>
        </w:rPr>
        <w:t xml:space="preserve"> [</w:t>
      </w:r>
      <w:r>
        <w:rPr>
          <w:sz w:val="28"/>
          <w:szCs w:val="28"/>
        </w:rPr>
        <w:t>56</w:t>
      </w:r>
      <w:r>
        <w:rPr>
          <w:sz w:val="28"/>
          <w:szCs w:val="28"/>
          <w:lang w:val="en-us"/>
        </w:rPr>
        <w:t>]</w:t>
      </w:r>
      <w:r>
        <w:rPr>
          <w:sz w:val="28"/>
          <w:szCs w:val="28"/>
          <w:lang w:val="en-us"/>
        </w:rPr>
        <w:t xml:space="preserve"> </w:t>
      </w:r>
      <w:r>
        <w:rPr>
          <w:sz w:val="28"/>
          <w:szCs w:val="28"/>
        </w:rPr>
        <w:t xml:space="preserve">це нормативний документ, він може не містити найдетальнішої схеми мережі, або схема може бути графічно простою, </w:t>
      </w:r>
      <w:r>
        <w:rPr>
          <w:sz w:val="28"/>
          <w:szCs w:val="28"/>
        </w:rPr>
        <w:t>тому рисунок 2.2 це схематика того як може виглядати креслення.</w:t>
      </w:r>
      <w:r>
        <w:rPr>
          <w:sz w:val="28"/>
          <w:szCs w:val="28"/>
        </w:rPr>
      </w:r>
    </w:p>
    <w:p>
      <w:pPr>
        <w:spacing w:line="360" w:lineRule="auto"/>
        <w:jc w:val="both"/>
        <w:rPr>
          <w:sz w:val="28"/>
          <w:szCs w:val="28"/>
        </w:rPr>
      </w:pPr>
      <w:r>
        <w:rPr>
          <w:sz w:val="28"/>
          <w:szCs w:val="28"/>
        </w:rPr>
      </w:r>
    </w:p>
    <w:p>
      <w:pPr>
        <w:spacing w:line="360" w:lineRule="auto"/>
        <w:jc w:val="both"/>
        <w:rPr>
          <w:sz w:val="28"/>
          <w:szCs w:val="28"/>
        </w:rPr>
      </w:pPr>
      <w:r>
        <w:rPr>
          <w:sz w:val="28"/>
          <w:szCs w:val="28"/>
        </w:rPr>
      </w:r>
    </w:p>
    <w:p>
      <w:pPr>
        <w:spacing w:line="360" w:lineRule="auto"/>
        <w:jc w:val="both"/>
        <w:rPr>
          <w:sz w:val="28"/>
          <w:szCs w:val="28"/>
        </w:rPr>
      </w:pPr>
      <w:r>
        <w:rPr>
          <w:sz w:val="28"/>
          <w:szCs w:val="28"/>
        </w:rPr>
      </w:r>
    </w:p>
    <w:p>
      <w:pPr>
        <w:spacing w:line="360" w:lineRule="auto"/>
        <w:jc w:val="center"/>
        <w:rPr>
          <w:sz w:val="28"/>
          <w:szCs w:val="28"/>
        </w:rPr>
      </w:pPr>
      <w:r>
        <w:rPr>
          <w:noProof/>
        </w:rPr>
        <w:drawing>
          <wp:anchor distT="0" distB="0" distL="0" distR="0" simplePos="0" relativeHeight="251658250" behindDoc="0" locked="0" layoutInCell="0" hidden="0" allowOverlap="1">
            <wp:simplePos x="0" y="0"/>
            <wp:positionH relativeFrom="column">
              <wp:align>center</wp:align>
            </wp:positionH>
            <wp:positionV relativeFrom="paragraph">
              <wp:posOffset>635</wp:posOffset>
            </wp:positionV>
            <wp:extent cx="6120130" cy="5447030"/>
            <wp:effectExtent l="0" t="0" r="0" b="0"/>
            <wp:wrapSquare wrapText="largest"/>
            <wp:docPr id="1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pic:cNvPicPr>
                      <a:picLocks noChangeAspect="1"/>
                      <a:extLst>
                        <a:ext uri="sm">
                          <sm:smNativeData xmlns:sm="sm" val="SMDATA_16_4Zz2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bAAAAAKIAAAMAAAAAAAAAAgAAAAIAAAAAAAAAAAAAAAIAAAABAAAApiUAAIIhAAAgAAAApQYAAJ4GAAAoAAAACAAAAAEAAAABAAAA"/>
                        </a:ext>
                      </a:extLst>
                    </pic:cNvPicPr>
                  </pic:nvPicPr>
                  <pic:blipFill>
                    <a:blip r:embed="rId13"/>
                    <a:stretch>
                      <a:fillRect/>
                    </a:stretch>
                  </pic:blipFill>
                  <pic:spPr>
                    <a:xfrm>
                      <a:off x="0" y="0"/>
                      <a:ext cx="6120130" cy="5447030"/>
                    </a:xfrm>
                    <a:prstGeom prst="rect">
                      <a:avLst/>
                    </a:prstGeom>
                    <a:noFill/>
                    <a:ln w="9525">
                      <a:noFill/>
                    </a:ln>
                  </pic:spPr>
                </pic:pic>
              </a:graphicData>
            </a:graphic>
          </wp:anchor>
        </w:drawing>
      </w:r>
      <w:r>
        <w:rPr>
          <w:sz w:val="28"/>
          <w:szCs w:val="28"/>
        </w:rPr>
        <w:t>Рисунок 2.2: Схема класичної планіметричної та альтиметричної мережі шахти</w:t>
      </w:r>
      <w:r>
        <w:rPr>
          <w:sz w:val="28"/>
          <w:szCs w:val="28"/>
          <w:lang w:val="en-us"/>
        </w:rPr>
        <w:t xml:space="preserve"> </w:t>
      </w:r>
      <w:r>
        <w:rPr>
          <w:sz w:val="28"/>
          <w:szCs w:val="28"/>
          <w:lang w:val="en-us"/>
        </w:rPr>
        <w:t>[56].</w:t>
      </w:r>
      <w:r>
        <w:rPr>
          <w:sz w:val="28"/>
          <w:szCs w:val="28"/>
          <w:lang w:val="en-us"/>
        </w:rPr>
        <w:t xml:space="preserve"> </w:t>
      </w:r>
      <w:r>
        <w:rPr>
          <w:sz w:val="28"/>
          <w:szCs w:val="28"/>
        </w:rPr>
      </w:r>
    </w:p>
    <w:p>
      <w:pPr>
        <w:spacing w:line="360" w:lineRule="auto"/>
        <w:jc w:val="center"/>
        <w:rPr>
          <w:b/>
          <w:bCs/>
          <w:sz w:val="28"/>
          <w:szCs w:val="28"/>
        </w:rPr>
      </w:pPr>
      <w:r>
        <w:rPr>
          <w:b/>
          <w:bCs/>
          <w:sz w:val="28"/>
          <w:szCs w:val="28"/>
        </w:rPr>
        <w:t>2.3. Контроль деформацій конструкцій та обладнання за допомогою традиційних методів.</w:t>
      </w:r>
    </w:p>
    <w:p>
      <w:pPr>
        <w:spacing w:line="360" w:lineRule="auto"/>
        <w:jc w:val="both"/>
        <w:rPr>
          <w:sz w:val="28"/>
          <w:szCs w:val="28"/>
        </w:rPr>
      </w:pPr>
      <w:r>
        <w:rPr>
          <w:sz w:val="28"/>
          <w:szCs w:val="28"/>
        </w:rPr>
        <w:tab/>
        <w:t>Точність вимірювань завжди була основною характеристикою маркшейдерських робіт, оскільки вона визначає надійність побудови просторових моделей гірничих споруд, безпеку виробництва та ефективність планування гірничих процесів [3, 5, 14]. Класична маркшейдерія розвивала свою методологію, засновану на поєднанні геометричної точності, повторюваності спостережень та систематичного контролю похибок. Усі методи вимірювання мали одну мету: забезпечити необхідну точність з мінімальними витратами часу та збереженням стабільних результатів у складних гірничих умовах.</w:t>
      </w:r>
    </w:p>
    <w:p>
      <w:pPr>
        <w:spacing w:line="360" w:lineRule="auto"/>
        <w:jc w:val="both"/>
        <w:rPr>
          <w:sz w:val="28"/>
          <w:szCs w:val="28"/>
        </w:rPr>
      </w:pPr>
      <w:r>
        <w:rPr>
          <w:sz w:val="28"/>
          <w:szCs w:val="28"/>
        </w:rPr>
        <w:tab/>
        <w:t>Основними видами вимірювань у класичній маркшейдерії були кутові, лінійні та висотні спостереження. Кутові вимірювання виконувалися за допомогою оптичних теодолітів, які дозволяли визначати горизонтальні та вертикальні кути між напрямками. Типовими приладами були Т15, Т30 та 2Т2, які забезпечували точність до 1-2ʺ по колу [7, 18]. Спеціалізовані підземні роботи вимагали використання компактних, пило- та вологостійких шахтних теодолітів. Усі кути спостерігалися щонайменше двічі - у прямому та зворотному напрямках - з подальшим обчисленням середнього значення [21, 24].</w:t>
      </w:r>
    </w:p>
    <w:p>
      <w:pPr>
        <w:spacing w:line="360" w:lineRule="auto"/>
        <w:jc w:val="both"/>
        <w:rPr>
          <w:sz w:val="28"/>
          <w:szCs w:val="28"/>
        </w:rPr>
      </w:pPr>
      <w:r>
        <w:rPr>
          <w:sz w:val="28"/>
          <w:szCs w:val="28"/>
        </w:rPr>
        <w:tab/>
        <w:t>Лінійні вимірювання проводилися за допомогою сталевих або інварових вимірювальних стрічок довжиною 20–50 м. Перед кожним вимірюванням проводилося калібрування на основі відомої довжини з урахуванням температури, натягу та нахилу стрічки. Поправки на температуру розраховувалися за формулою ΔL = αLΔt, де α - коефіцієнт лінійного розширення, L - довжина відрізка, а Δt - різниця температур [12, 22]. У замкнутих просторах, таких як шахти, використовувався метод часткового зміщення, при якому відстань поділялася на рівні відрізки, щоб уникнути помилок, спричинених натягом. Для значних довжин проводилися комбіновані вимірювання за допомогою рулетки та світлового далекоміра (у пізніші періоди) [25, 29].</w:t>
      </w:r>
    </w:p>
    <w:p>
      <w:pPr>
        <w:spacing w:line="360" w:lineRule="auto"/>
        <w:jc w:val="both"/>
        <w:rPr>
          <w:sz w:val="28"/>
          <w:szCs w:val="28"/>
        </w:rPr>
      </w:pPr>
      <w:r>
        <w:rPr>
          <w:sz w:val="28"/>
          <w:szCs w:val="28"/>
        </w:rPr>
        <w:tab/>
        <w:t>Вимірювання на високих рівнях проводилися нівелюванням або тригонометричними методами. Геометричне нівелювання залишалося основним методом визначення висот, оскільки воно забезпечувало найвищий рівень точності [16]. Для підземних робіт використовували нівеліри типів N3, N05, а в пізніші роки - N-3K та N-05K. Нівелювання виконувалося подвійним пробігом зі зворотним зчитуванням показань для контролю похибки [30]. Тригонометричний метод використовувався для великих перепадів висот або у важкодоступних місцях, при вимірюванні вертикальних кутів та відстаней до цілей, після чого висоту обчислювали тригонометрично [33, 36].</w:t>
      </w:r>
    </w:p>
    <w:p>
      <w:pPr>
        <w:spacing w:line="360" w:lineRule="auto"/>
        <w:jc w:val="both"/>
        <w:rPr>
          <w:sz w:val="28"/>
          <w:szCs w:val="28"/>
        </w:rPr>
      </w:pPr>
      <w:r>
        <w:rPr>
          <w:sz w:val="28"/>
          <w:szCs w:val="28"/>
        </w:rPr>
        <w:tab/>
        <w:t>Усі вимірювання супроводжувалися обліком похибок - випадкових, систематичних та грубих. Для оцінки випадкових похибок використовувалися статистичні методи, тоді як систематичні похибки визначалися шляхом калібрування приладів або спостереження у зворотному напрямку [19]. Для мінімізації похибок застосовувався принцип компенсації, згідно з яким вимірювання проводилися у протилежних напрямках, а результати усереднювалися. Грубі похибки визначалися шляхом нівелювання мереж та перевірки замикання полігонів. Таким чином, кожен результат проходив кілька етапів перевірки перед тим, як потрапити на остаточну обробку [31, 35].</w:t>
      </w:r>
    </w:p>
    <w:p>
      <w:pPr>
        <w:spacing w:line="360" w:lineRule="auto"/>
        <w:jc w:val="both"/>
        <w:rPr>
          <w:sz w:val="28"/>
          <w:szCs w:val="28"/>
        </w:rPr>
      </w:pPr>
      <w:r>
        <w:rPr>
          <w:sz w:val="28"/>
          <w:szCs w:val="28"/>
        </w:rPr>
        <w:tab/>
        <w:t>Класична геодезична зйомка характеризувалася високим рівнем регламентації точності. Для кожного виду робіт існували чіткі норми допустимих відхилень. Наприклад, для теодолітних зйомок IV класу похибка замикання не повинна була перевищувати 1:5000, для нівелювання - 4 мм на подвійному прогоні 1 км, а для шахтного полігону - не більше 20 мм на довжині 100 м [20, 34]. Ці стандарти забезпечували взаємну сумісність усіх частин мережі, дозволяючи з високою надійністю визначати просторове розташування виробок.</w:t>
      </w:r>
    </w:p>
    <w:p>
      <w:pPr>
        <w:spacing w:line="360" w:lineRule="auto"/>
        <w:jc w:val="both"/>
        <w:rPr>
          <w:sz w:val="28"/>
          <w:szCs w:val="28"/>
        </w:rPr>
      </w:pPr>
      <w:r>
        <w:rPr>
          <w:sz w:val="28"/>
          <w:szCs w:val="28"/>
        </w:rPr>
        <w:tab/>
        <w:t>Важливим етапом обробки було вирівнювання результатів. Для цього використовувався метод найменших квадратів, який дозволяв розподіляти випадкові помилки між усіма спостереженнями таким чином, щоб мінімізувати загальну похибку мережі [26]. Розрахунки виконувалися вручну або за допомогою механічних обчислювальних пристроїв, а пізніше за допомогою програмованих калькуляторів та комп'ютерів. Такий підхід зробив геодезию однією з перших прикладних галузей, яка активно використовувала математичну статистику для оцінки достовірності результатів [37].</w:t>
      </w:r>
    </w:p>
    <w:p>
      <w:pPr>
        <w:spacing w:line="360" w:lineRule="auto"/>
        <w:jc w:val="both"/>
        <w:rPr>
          <w:sz w:val="28"/>
          <w:szCs w:val="28"/>
        </w:rPr>
      </w:pPr>
      <w:r>
        <w:rPr>
          <w:sz w:val="28"/>
          <w:szCs w:val="28"/>
        </w:rPr>
        <w:tab/>
        <w:t>Особливе значення надавалося дисципліні польових вимірювань. Кожен геодезист мав дотримуватися стандартних процедур: перевіряти прилади перед зміною, записувати температуру, тиск і вологість, вказувати час спостереження та підпис відповідальної особи. Результати записувалися в польові журнали, які зберігалися разом з планами та звітами протягом багатьох років [28, 38]. Ця система контролю дозволяла відтворювати історію будь-якого вимірювання та перевіряти його точність.</w:t>
      </w:r>
    </w:p>
    <w:p>
      <w:pPr>
        <w:spacing w:line="360" w:lineRule="auto"/>
        <w:jc w:val="both"/>
        <w:rPr>
          <w:sz w:val="28"/>
          <w:szCs w:val="28"/>
        </w:rPr>
      </w:pPr>
      <w:r>
        <w:rPr>
          <w:sz w:val="28"/>
          <w:szCs w:val="28"/>
        </w:rPr>
        <w:tab/>
        <w:t>Для оцінки точності часто використовувався метод контрольних вимірювань - повторне спостереження частини мережі в пізніший час для визначення стабільності координат точок. Якщо різниця перевищувала допустиму похибку, точку вважали нестабільною та виключали з мережі [40]. Це забезпечувало довгострокову точність бази гірничої техніки та достовірність результатів для планування виробничих робіт.</w:t>
      </w:r>
    </w:p>
    <w:p>
      <w:pPr>
        <w:spacing w:line="360" w:lineRule="auto"/>
        <w:jc w:val="both"/>
        <w:rPr>
          <w:sz w:val="28"/>
          <w:szCs w:val="28"/>
        </w:rPr>
      </w:pPr>
      <w:r>
        <w:rPr>
          <w:sz w:val="28"/>
          <w:szCs w:val="28"/>
        </w:rPr>
        <w:tab/>
        <w:t>З часом класичні методи вимірювання доповнювалися використанням електронних далекомірів (ЕДМ) та комбінованих теодолітів, що зменшило людський фактор та підвищило продуктивність [23, 32]. Однак принципи точності залишалися незмінними: багаторазові вимірювання, контроль у різних напрямках, математичне нівелювання та суворий облік похибок. Ці принципи залишаються актуальними навіть у цифрову епоху, коли сучасні прилади автоматично фіксують та обробляють дані.</w:t>
      </w:r>
    </w:p>
    <w:p>
      <w:pPr>
        <w:spacing w:line="360" w:lineRule="auto"/>
        <w:jc w:val="both"/>
        <w:rPr>
          <w:sz w:val="28"/>
          <w:szCs w:val="28"/>
        </w:rPr>
      </w:pPr>
      <w:r>
        <w:rPr>
          <w:sz w:val="28"/>
          <w:szCs w:val="28"/>
        </w:rPr>
        <w:tab/>
        <w:t>У Криворізькому басейні, де глибина шахт перевищує 1300 метрів, вимоги до точності були особливо суворими. Для передачі координат з поверхні під землю використовувалися спеціальні компенсатори відхилення схилів та високоточні вертикальні прилади, що дозволяли досягати точності в кілька міліметрів [11, 27, 45]. Ці рішення зробили Криворізьку школу геодезизму однією з найпрестижніших у Східній Європі, а її досвід став основою для навчальних програм з точних вимірювань в українських гірничих університетах [46].</w:t>
      </w:r>
    </w:p>
    <w:p>
      <w:pPr>
        <w:spacing w:line="360" w:lineRule="auto"/>
        <w:jc w:val="both"/>
        <w:rPr>
          <w:sz w:val="28"/>
          <w:szCs w:val="28"/>
        </w:rPr>
      </w:pPr>
      <w:r>
        <w:rPr>
          <w:sz w:val="28"/>
          <w:szCs w:val="28"/>
        </w:rPr>
        <w:tab/>
        <w:t xml:space="preserve">Таким чином, класичні методи вимірювання поєднували глибоке розуміння фізичних процесів, математичну точність та високий рівень виконання робіт. Ці методи лягли в основу науки геодезиї, встановивши принципи, які залишаються актуальними й донині: системний підхід, повторюваність, перевіреність та відповідальність виконавця [42, 50]. Ці принципи дозволили геодезії зберегти свій статус однієї з найточніших інженерних дисциплін, що дозволяє сучасним фахівцям будувати свої цифрові системи на перевіреній основі класичних методів. На рисунку 2.3 показано приблизні умови того як проводяться класичні методи вимірювання </w:t>
      </w:r>
      <w:r>
        <w:rPr>
          <w:sz w:val="28"/>
          <w:szCs w:val="28"/>
          <w:lang w:val="en-us"/>
        </w:rPr>
        <w:t>[57]</w:t>
      </w:r>
      <w:r>
        <w:rPr>
          <w:sz w:val="28"/>
          <w:szCs w:val="28"/>
        </w:rPr>
        <w:t>.</w:t>
      </w:r>
      <w:r>
        <w:rPr>
          <w:sz w:val="28"/>
          <w:szCs w:val="28"/>
        </w:rPr>
      </w:r>
    </w:p>
    <w:p>
      <w:pPr>
        <w:spacing w:line="360" w:lineRule="auto"/>
        <w:jc w:val="center"/>
        <w:rPr>
          <w:sz w:val="28"/>
          <w:szCs w:val="28"/>
        </w:rPr>
      </w:pPr>
      <w:r>
        <w:rPr>
          <w:noProof/>
        </w:rPr>
        <w:drawing>
          <wp:anchor distT="0" distB="0" distL="0" distR="0" simplePos="0" relativeHeight="251658251" behindDoc="0" locked="0" layoutInCell="0" hidden="0" allowOverlap="1">
            <wp:simplePos x="0" y="0"/>
            <wp:positionH relativeFrom="column">
              <wp:align>center</wp:align>
            </wp:positionH>
            <wp:positionV relativeFrom="paragraph">
              <wp:posOffset>635</wp:posOffset>
            </wp:positionV>
            <wp:extent cx="6120130" cy="3970020"/>
            <wp:effectExtent l="0" t="0" r="0" b="0"/>
            <wp:wrapSquare wrapText="largest"/>
            <wp:docPr id="1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pic:cNvPicPr>
                      <a:picLocks noChangeAspect="1"/>
                      <a:extLst>
                        <a:ext uri="sm">
                          <sm:smNativeData xmlns:sm="sm" val="SMDATA_16_4Zz2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pAAAAAKIAAAMAAAAAAAAAAgAAAAIAAAAAAAAAAAAAAAIAAAABAAAApiUAAGwYAAAkAAAApQYAAPwRAAAoAAAACAAAAAEAAAABAAAA"/>
                        </a:ext>
                      </a:extLst>
                    </pic:cNvPicPr>
                  </pic:nvPicPr>
                  <pic:blipFill>
                    <a:blip r:embed="rId14"/>
                    <a:stretch>
                      <a:fillRect/>
                    </a:stretch>
                  </pic:blipFill>
                  <pic:spPr>
                    <a:xfrm>
                      <a:off x="0" y="0"/>
                      <a:ext cx="6120130" cy="3970020"/>
                    </a:xfrm>
                    <a:prstGeom prst="rect">
                      <a:avLst/>
                    </a:prstGeom>
                    <a:noFill/>
                    <a:ln w="9525">
                      <a:noFill/>
                    </a:ln>
                  </pic:spPr>
                </pic:pic>
              </a:graphicData>
            </a:graphic>
          </wp:anchor>
        </w:drawing>
      </w:r>
      <w:r>
        <w:rPr>
          <w:sz w:val="28"/>
          <w:szCs w:val="28"/>
        </w:rPr>
        <w:t>Рисунок 2.3: Класичні методи вимірювання в маркшейдерії</w:t>
      </w:r>
      <w:r>
        <w:rPr>
          <w:sz w:val="28"/>
          <w:szCs w:val="28"/>
        </w:rPr>
        <w:t>.</w:t>
      </w:r>
      <w:r>
        <w:rPr>
          <w:sz w:val="28"/>
          <w:szCs w:val="28"/>
        </w:rPr>
      </w:r>
    </w:p>
    <w:p>
      <w:pPr>
        <w:spacing w:line="360" w:lineRule="auto"/>
        <w:jc w:val="both"/>
        <w:rPr>
          <w:b/>
          <w:bCs/>
          <w:sz w:val="28"/>
          <w:szCs w:val="28"/>
        </w:rPr>
      </w:pPr>
      <w:r>
        <w:rPr>
          <w:b/>
          <w:bCs/>
          <w:sz w:val="28"/>
          <w:szCs w:val="28"/>
        </w:rPr>
        <w:t xml:space="preserve">2.4 </w:t>
      </w:r>
      <w:r>
        <w:rPr>
          <w:b/>
          <w:bCs/>
          <w:sz w:val="28"/>
          <w:szCs w:val="28"/>
          <w:lang w:val="en-us"/>
        </w:rPr>
        <w:t>Оцін</w:t>
      </w:r>
      <w:r>
        <w:rPr>
          <w:b/>
          <w:bCs/>
          <w:sz w:val="28"/>
          <w:szCs w:val="28"/>
        </w:rPr>
        <w:t>ка</w:t>
      </w:r>
      <w:r>
        <w:rPr>
          <w:b/>
          <w:bCs/>
          <w:sz w:val="28"/>
          <w:szCs w:val="28"/>
        </w:rPr>
        <w:t xml:space="preserve"> точності та контролю в класичних </w:t>
      </w:r>
      <w:r>
        <w:rPr>
          <w:b/>
          <w:bCs/>
          <w:sz w:val="28"/>
          <w:szCs w:val="28"/>
        </w:rPr>
        <w:t>маркшейдерських</w:t>
      </w:r>
      <w:r>
        <w:rPr>
          <w:b/>
          <w:bCs/>
          <w:sz w:val="28"/>
          <w:szCs w:val="28"/>
        </w:rPr>
        <w:t xml:space="preserve"> роботах.</w:t>
      </w:r>
      <w:r>
        <w:rPr>
          <w:b/>
          <w:bCs/>
          <w:sz w:val="28"/>
          <w:szCs w:val="28"/>
        </w:rPr>
      </w:r>
    </w:p>
    <w:p>
      <w:pPr>
        <w:spacing w:line="360" w:lineRule="auto"/>
        <w:jc w:val="both"/>
        <w:rPr>
          <w:sz w:val="28"/>
          <w:szCs w:val="28"/>
        </w:rPr>
      </w:pPr>
      <w:r>
        <w:rPr>
          <w:sz w:val="28"/>
          <w:szCs w:val="28"/>
        </w:rPr>
        <w:tab/>
        <w:t>Контроль точності завжди був в основі геодезичної діяльності. Класична геодезія, яка розвивалася за відсутності електронних приладів, спиралася виключно на точність вимірювань, дисципліну спостережень та математичну обробку результатів. Без системи контролю було б неможливо гарантувати достовірність геометричних побудов, а отже, безпеку та ефективність гірничого виробництва [3, 9, 17].</w:t>
      </w:r>
    </w:p>
    <w:p>
      <w:pPr>
        <w:spacing w:line="360" w:lineRule="auto"/>
        <w:jc w:val="both"/>
        <w:rPr>
          <w:sz w:val="28"/>
          <w:szCs w:val="28"/>
        </w:rPr>
      </w:pPr>
      <w:r>
        <w:rPr>
          <w:sz w:val="28"/>
          <w:szCs w:val="28"/>
        </w:rPr>
        <w:tab/>
        <w:t>У класичній геодезії оцінка точності базувалася на принципах повторюваності вимірювань, замкнутості геометричних фігур та балансу похибок. Будь-яка теодолітна або нівелірна зйомка вважалася правильною лише в тому випадку, якщо її геометрична замкнутість не перевищувала встановлених норм. З цією метою проводилися контрольні спостереження, повторні вимірювання окремих сторін та порівняння розрахованих координат з результатами незалежних зйомок [14, 20, 25].</w:t>
      </w:r>
    </w:p>
    <w:p>
      <w:pPr>
        <w:spacing w:line="360" w:lineRule="auto"/>
        <w:jc w:val="both"/>
        <w:rPr>
          <w:sz w:val="28"/>
          <w:szCs w:val="28"/>
        </w:rPr>
      </w:pPr>
      <w:r>
        <w:rPr>
          <w:sz w:val="28"/>
          <w:szCs w:val="28"/>
        </w:rPr>
        <w:tab/>
        <w:t>Основним критерієм якості полігонометричних мереж була похибка замикання. Вона визначалася як різниця між розрахованими та спостережуваними координатами в замкнутому полігоні. Відносна похибка не повинна була перевищувати 1:5000 для підземних мереж IV класу та 1:10 000 для наземних мереж [19]. Якщо ці допуски перевищувалися, результати вважалися недійсними, і процес доводилося повторювати. Ці норми суворо контролювалися геодезичними службами, що гарантувало високу точність виготовлених планів [27, 29].</w:t>
      </w:r>
    </w:p>
    <w:p>
      <w:pPr>
        <w:spacing w:line="360" w:lineRule="auto"/>
        <w:jc w:val="both"/>
        <w:rPr>
          <w:sz w:val="28"/>
          <w:szCs w:val="28"/>
        </w:rPr>
      </w:pPr>
      <w:r>
        <w:rPr>
          <w:sz w:val="28"/>
          <w:szCs w:val="28"/>
        </w:rPr>
        <w:tab/>
        <w:t>Точність лінійних вимірювань оцінювалася шляхом визначення середньоквадратичної похибки. 푚=∑푣</w:t>
      </w:r>
      <w:r>
        <w:rPr>
          <w:sz w:val="28"/>
          <w:szCs w:val="28"/>
          <w:vertAlign w:val="superscript"/>
        </w:rPr>
        <w:t>2</w:t>
      </w:r>
      <w:r>
        <w:rPr>
          <w:sz w:val="28"/>
          <w:szCs w:val="28"/>
        </w:rPr>
        <w:t>/(푛−1)m=∑v</w:t>
      </w:r>
      <w:r>
        <w:rPr>
          <w:sz w:val="28"/>
          <w:szCs w:val="28"/>
          <w:vertAlign w:val="superscript"/>
        </w:rPr>
        <w:t>2</w:t>
      </w:r>
      <w:r>
        <w:rPr>
          <w:sz w:val="28"/>
          <w:szCs w:val="28"/>
        </w:rPr>
        <w:t>/(n − 1). , де v - залишки спостережень, а n - кількість спостережень [12]. Для більшості підземних вимірювань ця похибка не повинна перевищувати 1 см на 100 м. Контроль здійснювався шляхом проведення кількох вимірювань однакової відстані різними людьми, що дозволило виявити як випадкові, так і систематичні похибки.</w:t>
      </w:r>
      <w:r>
        <w:rPr>
          <w:sz w:val="28"/>
          <w:szCs w:val="28"/>
        </w:rPr>
      </w:r>
    </w:p>
    <w:p>
      <w:pPr>
        <w:spacing w:line="360" w:lineRule="auto"/>
        <w:jc w:val="both"/>
        <w:rPr>
          <w:sz w:val="28"/>
          <w:szCs w:val="28"/>
        </w:rPr>
      </w:pPr>
      <w:r>
        <w:rPr>
          <w:sz w:val="28"/>
          <w:szCs w:val="28"/>
        </w:rPr>
        <w:tab/>
        <w:t>Вертикальна точність контролювалася шляхом перевірки на наявність похибок у нівелюючих прогонах. Під час геометричного нівелювання похибка замикання f</w:t>
      </w:r>
      <w:r>
        <w:rPr>
          <w:sz w:val="28"/>
          <w:szCs w:val="28"/>
          <w:vertAlign w:val="subscript"/>
          <w:lang w:val="en-us"/>
        </w:rPr>
        <w:t>h</w:t>
      </w:r>
      <w:r>
        <w:rPr>
          <w:sz w:val="28"/>
          <w:szCs w:val="28"/>
        </w:rPr>
        <w:t xml:space="preserve"> не повинна перевищувати 푓ℎ=±4퐿fh= ±4Lмм, де L - довжина прогону в кілометрах. Якщо розбіжність перевищувала це значення, проводилося повторне спостереження або похибка розподілялася пропорційно довжині сегментів [21, 28]. Для підземного нівелювання також використовувалися спеціальні рейки-компаратори для врахування можливої ​​нестабільності довжини через вологість і температуру [23].</w:t>
      </w:r>
      <w:r>
        <w:rPr>
          <w:sz w:val="28"/>
          <w:szCs w:val="28"/>
        </w:rPr>
      </w:r>
    </w:p>
    <w:p>
      <w:pPr>
        <w:spacing w:line="360" w:lineRule="auto"/>
        <w:jc w:val="both"/>
        <w:rPr>
          <w:sz w:val="28"/>
          <w:szCs w:val="28"/>
        </w:rPr>
      </w:pPr>
      <w:r>
        <w:rPr>
          <w:sz w:val="28"/>
          <w:szCs w:val="28"/>
        </w:rPr>
        <w:tab/>
        <w:t>Особлива увага приділялася контролю систематичних похибок. Їх виявляли шляхом спостереження в обох напрямках, повороту інструментів на 180°, повторного вирівнювання та перевірки середніх результатів [24]. Систематичні похибки могли виникати через похибки центрування інструменту, неточність регулювання осей або зміщення рейки. Кожен прилад мав свою власну «стандартизовану» похибку, яку враховували під час остаточного розрахунку результатів [16, 35].</w:t>
      </w:r>
    </w:p>
    <w:p>
      <w:pPr>
        <w:spacing w:line="360" w:lineRule="auto"/>
        <w:jc w:val="both"/>
        <w:rPr>
          <w:sz w:val="28"/>
          <w:szCs w:val="28"/>
        </w:rPr>
      </w:pPr>
      <w:r>
        <w:rPr>
          <w:sz w:val="28"/>
          <w:szCs w:val="28"/>
        </w:rPr>
        <w:tab/>
        <w:t>Особливу увагу було приділено контролю систематичних помилок. Вони були виявлені шляхом спостереження в обох напрямках, повороту інструментів на 180°, повторного вирівнювання та перевірки середніх результатів [24]. Систематичні помилки могли виникати через помилки центрування інструменту, неточності в юстируванні осей або зміщення опорної точки. Кожен інструмент мав свою власну «стандартизовану» помилку, яка враховувалася при остаточному балансуванні результатів [16, 35].</w:t>
      </w:r>
    </w:p>
    <w:p>
      <w:pPr>
        <w:spacing w:line="360" w:lineRule="auto"/>
        <w:jc w:val="both"/>
        <w:rPr>
          <w:sz w:val="28"/>
          <w:szCs w:val="28"/>
        </w:rPr>
      </w:pPr>
      <w:r>
        <w:rPr>
          <w:sz w:val="28"/>
          <w:szCs w:val="28"/>
        </w:rPr>
        <w:tab/>
        <w:t>Процедура контролю включала три рівні перевірки: польову, офісну та періодичний контроль стабільності точок: п</w:t>
      </w:r>
      <w:r>
        <w:rPr>
          <w:sz w:val="28"/>
          <w:szCs w:val="28"/>
        </w:rPr>
        <w:t xml:space="preserve">ольовий контроль здійснювався під час самих вимірювань, що включало перевірку подвійних спостережень, правильність показань, центрування та орієнтацію приладів; </w:t>
      </w:r>
      <w:r>
        <w:rPr>
          <w:sz w:val="28"/>
          <w:szCs w:val="28"/>
        </w:rPr>
        <w:t>о</w:t>
      </w:r>
      <w:r>
        <w:rPr>
          <w:sz w:val="28"/>
          <w:szCs w:val="28"/>
        </w:rPr>
        <w:t xml:space="preserve">фісний контроль здійснювався під час обробки: розрахунок розбіжностей, нівелювання мережі та аналіз статистичних характеристик похибок; </w:t>
      </w:r>
      <w:r>
        <w:rPr>
          <w:sz w:val="28"/>
          <w:szCs w:val="28"/>
        </w:rPr>
        <w:t>п</w:t>
      </w:r>
      <w:r>
        <w:rPr>
          <w:sz w:val="28"/>
          <w:szCs w:val="28"/>
        </w:rPr>
        <w:t>еріодичний контроль стабільності точок передбачав повторні спостереження кожні 6–12 місяців для визначення того, чи змінилося положення точок у просторі [26, 37].</w:t>
      </w:r>
      <w:r>
        <w:rPr>
          <w:sz w:val="28"/>
          <w:szCs w:val="28"/>
        </w:rPr>
      </w:r>
    </w:p>
    <w:p>
      <w:pPr>
        <w:spacing w:line="360" w:lineRule="auto"/>
        <w:jc w:val="both"/>
        <w:rPr>
          <w:sz w:val="28"/>
          <w:szCs w:val="28"/>
        </w:rPr>
      </w:pPr>
      <w:r>
        <w:rPr>
          <w:sz w:val="28"/>
          <w:szCs w:val="28"/>
        </w:rPr>
        <w:tab/>
        <w:t>Важливим компонентом класичного контролю був метод нівелювання мережі з використанням методу найменших квадратів. Цей підхід дозволяв розподіляти випадкові помилки по всіх вимірюваннях, мінімізуючи загальну невизначеність [30]. Сума залишків після вирівнювання повинна була наближатися до нуля, що свідчить про внутрішню узгодженість мережі. Якщо залишки були систематичними, перевірялися початкові вимірювання або калібрування приладів [32].</w:t>
      </w:r>
    </w:p>
    <w:p>
      <w:pPr>
        <w:spacing w:line="360" w:lineRule="auto"/>
        <w:jc w:val="both"/>
        <w:rPr>
          <w:sz w:val="28"/>
          <w:szCs w:val="28"/>
        </w:rPr>
      </w:pPr>
      <w:r>
        <w:rPr>
          <w:sz w:val="28"/>
          <w:szCs w:val="28"/>
        </w:rPr>
        <w:tab/>
        <w:t>Точність також оцінювалася шляхом порівняння незалежних спостережень. У шахтах було поширеною практикою дублювання частини тунелів різними бригадами, що дозволяло виявляти відхилення між результатами та об'єктивно оцінювати рівень кваліфікації робітників [31]. Будь-яка різниця між незалежними вимірюваннями, яка перевищувала допустиму похибку, вважалася грубою помилкою та вимагала корекції або повторного обстеження.</w:t>
      </w:r>
    </w:p>
    <w:p>
      <w:pPr>
        <w:spacing w:line="360" w:lineRule="auto"/>
        <w:jc w:val="both"/>
        <w:rPr>
          <w:sz w:val="28"/>
          <w:szCs w:val="28"/>
        </w:rPr>
      </w:pPr>
      <w:r>
        <w:rPr>
          <w:sz w:val="28"/>
          <w:szCs w:val="28"/>
        </w:rPr>
        <w:tab/>
        <w:t>Важливим також був візуальний контроль точності графічних побудов. Після обчислення координат результати переносилися на план, де перевірялася відповідність кутів, замикання контурів та вирівнювання контрольних точок. Будь-яка візуальна різниця між незалежними полігонами або планами свідчила про наявність помилки [38, 41]. У навчальних маркшейдерських партіях практикувалося спеціальне правило - «точність перевіряється не числами, а лініями»: Якщо контур не замикається на папері, жодне математичне коригування не врятує результат.</w:t>
      </w:r>
    </w:p>
    <w:p>
      <w:pPr>
        <w:spacing w:line="360" w:lineRule="auto"/>
        <w:jc w:val="both"/>
        <w:rPr>
          <w:sz w:val="28"/>
          <w:szCs w:val="28"/>
        </w:rPr>
      </w:pPr>
      <w:r>
        <w:rPr>
          <w:sz w:val="28"/>
          <w:szCs w:val="28"/>
        </w:rPr>
        <w:tab/>
        <w:t>У Криворізькому регіоні</w:t>
      </w:r>
      <w:r>
        <w:rPr>
          <w:sz w:val="28"/>
          <w:szCs w:val="28"/>
        </w:rPr>
        <w:t>, де маркшейдерські роботи проводилися на великих глибинах та у складних гірничо-геологічних умовах, контроль точності мав особливе значення. Для підвищення достовірності результатів використовувалися подвійні інклінометри, спеціальні стабілізуючі прилади для центрування та система порівняння координат точок між сусідніми шахтами [11, 33, 42]. Такий підхід дозволив створити комплексну регіональну систему координат, що забезпечує узгодженість даних на десятки кілометрів.</w:t>
      </w:r>
      <w:r>
        <w:rPr>
          <w:sz w:val="28"/>
          <w:szCs w:val="28"/>
        </w:rPr>
      </w:r>
    </w:p>
    <w:p>
      <w:pPr>
        <w:spacing w:line="360" w:lineRule="auto"/>
        <w:jc w:val="both"/>
        <w:rPr>
          <w:sz w:val="28"/>
          <w:szCs w:val="28"/>
        </w:rPr>
      </w:pPr>
      <w:r>
        <w:rPr>
          <w:sz w:val="28"/>
          <w:szCs w:val="28"/>
        </w:rPr>
        <w:tab/>
        <w:t>Класична маркшейдерія</w:t>
      </w:r>
      <w:r>
        <w:rPr>
          <w:sz w:val="28"/>
          <w:szCs w:val="28"/>
        </w:rPr>
        <w:t xml:space="preserve"> також мала чітку систему контрольної документації. Кожен вимір фіксувався в польовому журналі, який включав дату, прилад, оператора, погодні умови, вид спостереження та допуски. Всі результати перевірялися підписами двох осіб - особи, яка виконувала роботу, та контролера. Після камеральної обробки складався звіт про точність виконання робіт, який затверджувався головним </w:t>
      </w:r>
      <w:r>
        <w:rPr>
          <w:sz w:val="28"/>
          <w:szCs w:val="28"/>
        </w:rPr>
        <w:t>маркшейдером</w:t>
      </w:r>
      <w:r>
        <w:rPr>
          <w:sz w:val="28"/>
          <w:szCs w:val="28"/>
        </w:rPr>
        <w:t xml:space="preserve"> підприємства [40, 44]. Така практика забезпечувала прозорість, перевірюваність та високу професійну відповідальність.</w:t>
      </w:r>
      <w:r>
        <w:rPr>
          <w:sz w:val="28"/>
          <w:szCs w:val="28"/>
        </w:rPr>
      </w:r>
    </w:p>
    <w:p>
      <w:pPr>
        <w:spacing w:line="360" w:lineRule="auto"/>
        <w:jc w:val="both"/>
        <w:rPr>
          <w:sz w:val="28"/>
          <w:szCs w:val="28"/>
        </w:rPr>
      </w:pPr>
      <w:r>
        <w:rPr>
          <w:sz w:val="28"/>
          <w:szCs w:val="28"/>
        </w:rPr>
        <w:tab/>
        <w:t>Таким чином, система оцінки точності в класичній маркшейдерії</w:t>
      </w:r>
      <w:r>
        <w:rPr>
          <w:sz w:val="28"/>
          <w:szCs w:val="28"/>
        </w:rPr>
        <w:t xml:space="preserve"> базувалася на чотирьох фундаментальних принципах: повторюваність вимірювань, контроль замкнутості, нівелювання мереж та документальне підтвердження результатів. Ця багаторівнева структура гарантувала стабільність та надійність геометричних побудов, що використовувалися для планування гірничих робіт. Навіть сьогодні, в цифрову епоху, фундаментальні принципи класичного контролю залишаються незмінними - усі сучасні системи перевіряються за тими ж критеріями точності, що були сформульовані у 20 столітті [45, 50].</w:t>
      </w:r>
      <w:r>
        <w:rPr>
          <w:sz w:val="28"/>
          <w:szCs w:val="28"/>
        </w:rPr>
      </w:r>
    </w:p>
    <w:p>
      <w:pPr>
        <w:spacing w:line="360" w:lineRule="auto"/>
        <w:jc w:val="center"/>
        <w:rPr>
          <w:b/>
          <w:bCs/>
          <w:sz w:val="28"/>
          <w:szCs w:val="28"/>
          <w:lang w:val="en-us"/>
        </w:rPr>
      </w:pPr>
      <w:r>
        <w:rPr>
          <w:b/>
          <w:bCs/>
          <w:sz w:val="28"/>
          <w:szCs w:val="28"/>
          <w:lang w:val="en-us"/>
        </w:rPr>
        <w:t>2.</w:t>
      </w:r>
      <w:r>
        <w:rPr>
          <w:b/>
          <w:bCs/>
          <w:sz w:val="28"/>
          <w:szCs w:val="28"/>
        </w:rPr>
        <w:t>5</w:t>
      </w:r>
      <w:r>
        <w:rPr>
          <w:b/>
          <w:bCs/>
          <w:sz w:val="28"/>
          <w:szCs w:val="28"/>
          <w:lang w:val="en-us"/>
        </w:rPr>
        <w:t>. Документування, обробка та нівелювання результатів.</w:t>
      </w:r>
      <w:r>
        <w:rPr>
          <w:b/>
          <w:bCs/>
          <w:sz w:val="28"/>
          <w:szCs w:val="28"/>
          <w:lang w:val="en-us"/>
        </w:rPr>
      </w:r>
    </w:p>
    <w:p>
      <w:pPr>
        <w:spacing w:line="360" w:lineRule="auto"/>
        <w:jc w:val="both"/>
        <w:rPr>
          <w:sz w:val="28"/>
          <w:szCs w:val="28"/>
          <w:lang w:val="en-us"/>
        </w:rPr>
      </w:pPr>
      <w:r>
        <w:rPr>
          <w:sz w:val="28"/>
          <w:szCs w:val="28"/>
          <w:lang w:val="en-us"/>
        </w:rPr>
        <w:tab/>
        <w:t>Процес документування, обробки та нівелювання результатів є завершальним і надзвичайно важливим етапом маркшейдерських робіт. Саме на цьому етапі вимірювані дані набувають аналітичного та управлінського значення, перетворюючись із сукупності спостережень на точну інженерну інформацію, необхідну для контролю стану гірничих споруд, розрахунку обсягів гірничих мас, прогнозування деформацій та планування майбутніх робіт [1, 9, 25].</w:t>
      </w:r>
    </w:p>
    <w:p>
      <w:pPr>
        <w:spacing w:line="360" w:lineRule="auto"/>
        <w:jc w:val="both"/>
        <w:rPr>
          <w:sz w:val="28"/>
          <w:szCs w:val="28"/>
          <w:lang w:val="en-us"/>
        </w:rPr>
      </w:pPr>
      <w:r>
        <w:rPr>
          <w:sz w:val="28"/>
          <w:szCs w:val="28"/>
          <w:lang w:val="en-us"/>
        </w:rPr>
        <w:tab/>
        <w:t>У класичному маркшейдерському виконанні документування велося вручну в журналах польових спостережень. Усі вимірювання - кути, лінії, висоти, позначки, координати точок - записувалися у вигляді таблиць та схем, які потім переносилися на паперові плани. Такий підхід забезпечував повний контроль над кожним етапом, але був трудомістким і вимагав ретельної перевірки записів. Результати оброблялися переважно аналітичними або графічними методами, що включали формули геометрії та тригонометрії, метод найменших квадратів, а також допоміжні таблиці та логарифмічні лінійки [14, 20, 27].</w:t>
      </w:r>
    </w:p>
    <w:p>
      <w:pPr>
        <w:spacing w:line="360" w:lineRule="auto"/>
        <w:jc w:val="both"/>
        <w:rPr>
          <w:sz w:val="28"/>
          <w:szCs w:val="28"/>
          <w:lang w:val="en-us"/>
        </w:rPr>
      </w:pPr>
      <w:r>
        <w:rPr>
          <w:sz w:val="28"/>
          <w:szCs w:val="28"/>
          <w:lang w:val="en-us"/>
        </w:rPr>
        <w:tab/>
        <w:t>Особливе місце займало нівелювання - визначення перепадів висот між точками. У класичних геодезичних системах цей процес здійснювався за допомогою оптичних нівелів та рейок, з контролем прямого та зворотного відліків. Результати нівелювання використовувалися для складання висотної мережі шахти, контролю осідання гірського масиву, розрахунку глибини гірничих виробок та визначення напрямків скидання води. Похибка нівелювання IV класу не повинна була перевищувати 10 мм для подвійного пробігу 1 км [33, 36].</w:t>
      </w:r>
    </w:p>
    <w:p>
      <w:pPr>
        <w:spacing w:line="360" w:lineRule="auto"/>
        <w:jc w:val="both"/>
        <w:rPr>
          <w:sz w:val="28"/>
          <w:szCs w:val="28"/>
          <w:lang w:val="en-us"/>
        </w:rPr>
      </w:pPr>
      <w:r>
        <w:rPr>
          <w:sz w:val="28"/>
          <w:szCs w:val="28"/>
          <w:lang w:val="en-us"/>
        </w:rPr>
        <w:tab/>
        <w:t>Пізніше, з розвитком електронних вимірювальних систем, були впроваджені цифрові нівеліри, які дозволяли автоматично зчитувати рейкову розмітку та розраховувати висоти з точністю до однієї десятої міліметра. У той же час з'явилися перші електронні журнали польових спостережень, які синхронізувалися з приладами через кабелі або карти пам'яті. Це усунуло помилки при передачі даних та скоротило час обробки в кілька разів [31, 40].</w:t>
      </w:r>
    </w:p>
    <w:p>
      <w:pPr>
        <w:spacing w:line="360" w:lineRule="auto"/>
        <w:jc w:val="both"/>
        <w:rPr>
          <w:sz w:val="28"/>
          <w:szCs w:val="28"/>
          <w:lang w:val="en-us"/>
        </w:rPr>
      </w:pPr>
      <w:r>
        <w:rPr>
          <w:sz w:val="28"/>
          <w:szCs w:val="28"/>
          <w:lang w:val="en-us"/>
        </w:rPr>
        <w:tab/>
        <w:t>Сучасна геодезична практика повністю перейшла на електронну документацію. Дані вимірювань з тахеометрів, GNSS-приймачів, лазерних сканерів або БПЛА передаються безпосередньо до спеціалізованих програмних пакетів: Leica Infinity, Trimble Business Center, Geomax X-PAD та AutoCAD Civil 3D для класичної обробки вимірювань; Surpac, Micromine, Vulcan та Mine Sight для побудови цифрових моделей гірничих об'єктів; GIS/BIM-платформи використовуються для просторової інтеграції результатів нівелювання з іншими даними підприємства [39, 44, 47].</w:t>
      </w:r>
    </w:p>
    <w:p>
      <w:pPr>
        <w:spacing w:line="360" w:lineRule="auto"/>
        <w:jc w:val="both"/>
        <w:rPr>
          <w:sz w:val="28"/>
          <w:szCs w:val="28"/>
          <w:lang w:val="en-us"/>
        </w:rPr>
      </w:pPr>
      <w:r>
        <w:rPr>
          <w:sz w:val="28"/>
          <w:szCs w:val="28"/>
          <w:lang w:val="en-us"/>
        </w:rPr>
        <w:tab/>
        <w:t>Істотною перевагою цифрових систем є реалізація автоматичного нівелювання та контролю помилок. Наприклад, під час моніторингу просідання гірничих споруд або поверхні кар'єру програмне забезпечення виконує розрахунки в режимі реального часу, порівнюючи нові координати точок з базовими. Якщо значення перевищують допустимі межі, програма автоматично формує звіт та сигналізує про потенційну деформацію [45, 48].</w:t>
      </w:r>
    </w:p>
    <w:p>
      <w:pPr>
        <w:spacing w:line="360" w:lineRule="auto"/>
        <w:jc w:val="both"/>
        <w:rPr>
          <w:sz w:val="28"/>
          <w:szCs w:val="28"/>
          <w:lang w:val="en-us"/>
        </w:rPr>
      </w:pPr>
      <w:r>
        <w:rPr>
          <w:sz w:val="28"/>
          <w:szCs w:val="28"/>
          <w:lang w:val="en-us"/>
        </w:rPr>
        <w:tab/>
        <w:t>Географічні інформаційні системи (ГІС), в яких результати маркшейдерських вимірювань обробляються не лише чисельно, а й візуально, набули широкого поширення. Дані нивелірного дослідження інтегруються з іншими тематичними шарами, такими як геологічний, вентиляційний та транспортний. Це дозволяє створювати тривимірні карти шахти, на яких у режимі реального часу відображаються поточні зміни висот та координат контрольних точок. Таким чином, результати обробки стають частиною єдиного цифрового циклу моніторингу [41, 43, 46].</w:t>
      </w:r>
    </w:p>
    <w:p>
      <w:pPr>
        <w:spacing w:line="360" w:lineRule="auto"/>
        <w:jc w:val="both"/>
        <w:rPr>
          <w:sz w:val="28"/>
          <w:szCs w:val="28"/>
          <w:lang w:val="en-us"/>
        </w:rPr>
      </w:pPr>
      <w:r>
        <w:rPr>
          <w:sz w:val="28"/>
          <w:szCs w:val="28"/>
          <w:lang w:val="en-us"/>
        </w:rPr>
        <w:tab/>
        <w:t>Сучасне документування результатів також включає електронні журнали спостережень, хмарні архіви та системи контролю версій даних. Кожне вимірювання має унікальний ідентифікатор, який дозволяє відстежувати історію змін, визначати джерело помилки або підтверджувати точність інформації під час аудиту. Згідно із сучасними стандартами ISO 19115 та OGC, усі просторові дані повинні супроводжуватися метаданими - описом часу дослідження, типу приладу, умов вимірювання, системи координат та точності [49, 50].</w:t>
      </w:r>
    </w:p>
    <w:p>
      <w:pPr>
        <w:spacing w:line="360" w:lineRule="auto"/>
        <w:jc w:val="both"/>
        <w:rPr>
          <w:sz w:val="28"/>
          <w:szCs w:val="28"/>
          <w:lang w:val="en-us"/>
        </w:rPr>
      </w:pPr>
      <w:r>
        <w:rPr>
          <w:sz w:val="28"/>
          <w:szCs w:val="28"/>
          <w:lang w:val="en-us"/>
        </w:rPr>
        <w:tab/>
        <w:t>Підсумовуючи, можна зробити висновок, що розвиток технологій документування та обробки змінив роль геодезиста: від калькулятора до аналітика та менеджера просторових даних. Використання цифрового нівелювання, автоматичних журналів та хмарних сервісів забезпечує високу точність, прозорість та відтворюваність результатів. Однак, фундаментальні принципи, такі як ретельна перевірка, подвійне спостереження та обґрунтована оцінка точності, залишаються незмінними. Поєднання класичних геометричних методів та сучасних цифрових технологій забезпечує найвищий рівень надійності геодезичних робіт для українських гірничодобувних підприємств [25, 33, 47, 50].</w:t>
      </w:r>
    </w:p>
    <w:p>
      <w:pPr>
        <w:spacing w:line="360" w:lineRule="auto"/>
        <w:jc w:val="center"/>
        <w:rPr>
          <w:b/>
          <w:bCs/>
          <w:sz w:val="28"/>
          <w:szCs w:val="28"/>
        </w:rPr>
      </w:pPr>
      <w:r>
        <w:br w:type="page"/>
      </w:r>
      <w:r>
        <w:rPr>
          <w:b/>
          <w:bCs/>
          <w:sz w:val="28"/>
          <w:szCs w:val="28"/>
        </w:rPr>
        <w:t>3. Огляд</w:t>
      </w:r>
      <w:r>
        <w:rPr>
          <w:b/>
          <w:bCs/>
          <w:sz w:val="28"/>
          <w:szCs w:val="28"/>
        </w:rPr>
        <w:t xml:space="preserve"> сучасних підходів на основі наукових статей</w:t>
      </w:r>
      <w:r>
        <w:rPr>
          <w:b/>
          <w:bCs/>
          <w:sz w:val="28"/>
          <w:szCs w:val="28"/>
        </w:rPr>
      </w:r>
    </w:p>
    <w:p>
      <w:pPr>
        <w:spacing w:line="360" w:lineRule="auto"/>
        <w:jc w:val="center"/>
        <w:rPr>
          <w:b/>
          <w:bCs/>
          <w:sz w:val="28"/>
          <w:szCs w:val="28"/>
        </w:rPr>
      </w:pPr>
      <w:r>
        <w:rPr>
          <w:b/>
          <w:bCs/>
          <w:sz w:val="28"/>
          <w:szCs w:val="28"/>
        </w:rPr>
        <w:t>3.1. Мета та дослідження сучасних методів</w:t>
      </w:r>
      <w:r>
        <w:rPr>
          <w:b/>
          <w:bCs/>
          <w:sz w:val="28"/>
          <w:szCs w:val="28"/>
        </w:rPr>
      </w:r>
    </w:p>
    <w:p>
      <w:pPr>
        <w:spacing w:line="360" w:lineRule="auto"/>
        <w:jc w:val="both"/>
        <w:rPr>
          <w:sz w:val="28"/>
          <w:szCs w:val="28"/>
        </w:rPr>
      </w:pPr>
      <w:r>
        <w:rPr>
          <w:sz w:val="28"/>
          <w:szCs w:val="28"/>
        </w:rPr>
        <w:tab/>
        <w:t>Сучасна геодезична робота переживає глибоку трансформацію, зумовлену розвитком цифрових технологій, автоматизації та інтеграції геоінформаційних систем у виробничі процеси. У той час як традиційні методи спиралися на ручні вимірювання та паперові плани, сучасна геодезична робота базується на безперервному зборі, обробці та аналізі просторових даних у цифровому середовищі [3, 11, 17]. Основними принципами сучасної геодезичної роботи є точність, своєчасність, інтеграція та аналітичні можливості, що дозволяють не лише вимірювати геометрію об'єктів, але й прогнозувати їх стан та вплив на навколишнє середовище.</w:t>
      </w:r>
    </w:p>
    <w:p>
      <w:pPr>
        <w:spacing w:line="360" w:lineRule="auto"/>
        <w:jc w:val="both"/>
        <w:rPr>
          <w:sz w:val="28"/>
          <w:szCs w:val="28"/>
        </w:rPr>
      </w:pPr>
      <w:r>
        <w:rPr>
          <w:sz w:val="28"/>
          <w:szCs w:val="28"/>
        </w:rPr>
        <w:tab/>
        <w:t>Першим фундаментальним принципом є комплексність геодезичної системи. Сучасні геодезичні системи більше не обмежуються картографуванням виробок або контролем стійкості споруд. Вони поєднують геодезичні, геофізичні, геологічні, гідрогеологічні та екологічні дані в єдиній інформаційній моделі [5, 14, 19]. Це створює цифрове середовище для шахт або кар'єрів, де всі процеси - від планування вибою до моніторингу просідання поверхні - взаємопов'язані в режимі реального часу. Таким чином, геодезична робота перетворюється з допоміжної служби на центральну координуючу систему управління просторовою інформацією в межах підприємства.</w:t>
      </w:r>
    </w:p>
    <w:p>
      <w:pPr>
        <w:spacing w:line="360" w:lineRule="auto"/>
        <w:jc w:val="both"/>
        <w:rPr>
          <w:sz w:val="28"/>
          <w:szCs w:val="28"/>
        </w:rPr>
      </w:pPr>
      <w:r>
        <w:rPr>
          <w:sz w:val="28"/>
          <w:szCs w:val="28"/>
        </w:rPr>
        <w:tab/>
        <w:t>Другим ключовим принципом є інтеграція сучасних технологій збору даних. Для побудови просторових моделей використовуються приймачі GNSS, лазерні сканери (LiDAR), безпілотні літальні апарати (БПЛА), фотограмметричні системи, 3D-теодоліти та підземні сенсорні мережі [12, 26]. Отримані дані автоматично переносяться на цифрові платформи, де обробляються хмари точок, створюються 3D-моделі, виготовляються ортофотоплани та виконується геометричний аналіз. Це значно підвищує точність та швидкість геодезичних робіт, а також зменшує вплив людської помилки.</w:t>
      </w:r>
    </w:p>
    <w:p>
      <w:pPr>
        <w:spacing w:line="360" w:lineRule="auto"/>
        <w:jc w:val="both"/>
        <w:rPr>
          <w:sz w:val="28"/>
          <w:szCs w:val="28"/>
        </w:rPr>
      </w:pPr>
      <w:r>
        <w:rPr>
          <w:sz w:val="28"/>
          <w:szCs w:val="28"/>
        </w:rPr>
        <w:tab/>
        <w:t>Наступний принцип - безперервність та динамічність контролю. На відміну від періодичних вимірювань, характерних для класичної системи, сучасна геодезія зосереджена на безперервному моніторингу. Автоматичні станції спостереження, встановлені в ключових точках шахти чи кар'єру, безперервно фіксують зміни положення точок, деформації опор та просідання ґрунтів [20, 24, 31]. Ці дані в режимі реального часу надсилаються на центральний сервер, де проводиться аналітична обробка та генеруються сповіщення про можливі небезпечні відхилення. Це дозволяє перейти від реактивного до превентивного управління безпекою.</w:t>
      </w:r>
    </w:p>
    <w:p>
      <w:pPr>
        <w:spacing w:line="360" w:lineRule="auto"/>
        <w:jc w:val="both"/>
        <w:rPr>
          <w:sz w:val="28"/>
          <w:szCs w:val="28"/>
        </w:rPr>
      </w:pPr>
      <w:r>
        <w:rPr>
          <w:sz w:val="28"/>
          <w:szCs w:val="28"/>
        </w:rPr>
        <w:tab/>
        <w:t>Принцип цифрової інтеграції геодезичних даних у загальну систему управління виробництвом відіграє важливу роль. Сучасні гірничодобувні підприємства створюють цифрових двійників шахт, які поєднують геометричну, технологічну та аналітичну інформацію в єдиному середовищі [9, 27, 33]. Такі моделі дозволяють візуалізувати будь-яку територію у трьох вимірах, оцінювати взаємне розташування споруд, планувати маршрути комунікацій та аналізувати зони ризику. Завдяки інтеграції з гірничодобувними та вентиляційними системами, цифрові двійники забезпечують точний контроль усього життєвого циклу виробництва - від проектування до рекультивації.</w:t>
      </w:r>
    </w:p>
    <w:p>
      <w:pPr>
        <w:spacing w:line="360" w:lineRule="auto"/>
        <w:jc w:val="both"/>
        <w:rPr>
          <w:sz w:val="28"/>
          <w:szCs w:val="28"/>
        </w:rPr>
      </w:pPr>
      <w:r>
        <w:rPr>
          <w:sz w:val="28"/>
          <w:szCs w:val="28"/>
        </w:rPr>
        <w:tab/>
        <w:t>Сучасна геодезична робота неможлива без геоінформаційних систем (ГІС), які є основним інструментом просторового аналізу. Вони дозволяють об'єднати в єдиній базі даних плани маркшейдерів, геологічні моделі, стійкість гірських масивів, зони просідання та гідрогеологічні параметри [16, 28]. Така інтеграція забезпечує багаторівневий аналіз, від локальної шахтної території до регіональних промислових споруд. У Криворізькій області вже створюються пілотні ГІС-проекти, які охоплюють великі площі рудних родовищ та дозволяють прогнозувати зміни земної поверхні в результаті гірничих робіт [29, 41].</w:t>
      </w:r>
    </w:p>
    <w:p>
      <w:pPr>
        <w:spacing w:line="360" w:lineRule="auto"/>
        <w:jc w:val="both"/>
        <w:rPr>
          <w:sz w:val="28"/>
          <w:szCs w:val="28"/>
        </w:rPr>
      </w:pPr>
      <w:r>
        <w:rPr>
          <w:sz w:val="28"/>
          <w:szCs w:val="28"/>
        </w:rPr>
        <w:tab/>
        <w:t>Значним розвитком стало впровадження принципів інтелектуального управління даними. Сучасні аналітичні системи на основі штучного інтелекту (ШІ) можуть не лише обробляти великі обсяги даних, але й самостійно виявляти закономірності - наприклад, виявляти потенційні зони просідання або визначати тенденції змін геометрії виробок [30, 34]. Використання машинного навчання разом з історичними даними дозволяє формувати прогнозні моделі, що підвищують ефективність управлінських рішень.</w:t>
      </w:r>
    </w:p>
    <w:p>
      <w:pPr>
        <w:spacing w:line="360" w:lineRule="auto"/>
        <w:jc w:val="both"/>
        <w:rPr>
          <w:sz w:val="28"/>
          <w:szCs w:val="28"/>
        </w:rPr>
      </w:pPr>
      <w:r>
        <w:rPr>
          <w:sz w:val="28"/>
          <w:szCs w:val="28"/>
        </w:rPr>
        <w:tab/>
        <w:t>Ще одним важливим принципом є забезпечення надійності та безпеки даних. Оскільки бази даних гірничої техніки містять критично важливу інформацію про структуру підземних споруд, усі системи підлягають суворому контролю доступу, резервному копіюванню та захисту від кіберзагроз [32, 36]. В Україні все частіше впроваджуються такі стандарти, як ISO 27001 щодо інформаційної безпеки та ISO 19115 щодо просторової структури даних, що забезпечує сумісність національних систем з міжнародними [39, 43].</w:t>
      </w:r>
    </w:p>
    <w:p>
      <w:pPr>
        <w:spacing w:line="360" w:lineRule="auto"/>
        <w:jc w:val="both"/>
        <w:rPr>
          <w:sz w:val="28"/>
          <w:szCs w:val="28"/>
        </w:rPr>
      </w:pPr>
      <w:r>
        <w:rPr>
          <w:sz w:val="28"/>
          <w:szCs w:val="28"/>
        </w:rPr>
        <w:tab/>
        <w:t>Сучасна геодезична справа приділяє особливу увагу екологічному аспекту. Дані про геометрію виробок, стійкість стін кар'єру, дренаж та затоплення використовуються для оцінки впливу діяльності людини на навколишнє середовище [13, 38, 44]. У рамках концепції сталого розвитку геодезічні послуги стають невід'ємною частиною екологічного моніторингу, забезпечуючи прогнозування просідання ґрунту, контроль стану водних ресурсів та рекультивацію земель. Це підтверджує, що сучасна геодезична справа виходить за рамки суто технічних завдань, охоплюючи складну взаємодію між промисловістю та природним середовищем.</w:t>
      </w:r>
    </w:p>
    <w:p>
      <w:pPr>
        <w:spacing w:line="360" w:lineRule="auto"/>
        <w:jc w:val="both"/>
        <w:rPr>
          <w:sz w:val="28"/>
          <w:szCs w:val="28"/>
        </w:rPr>
      </w:pPr>
      <w:r>
        <w:rPr>
          <w:sz w:val="28"/>
          <w:szCs w:val="28"/>
        </w:rPr>
        <w:tab/>
        <w:t>Необхідною умовою ефективного впровадження сучасних принципів є оновлення кадрового складу та підвищення кваліфікації спеціалістів. Університети України, зокрема Криворізький національний університет та Національний гірничий університет у Дніпрі, активно впроваджують дисципліни, пов'язані з цифровими технологіями, у геодезичні роботи, лазерне сканування, 3D-моделювання та аналіз великих даних [15, 37, 46]. Формування нового покоління геодезистів, здатних працювати в цифровому середовищі, стає стратегічною метою розвитку галузі.</w:t>
      </w:r>
    </w:p>
    <w:p>
      <w:pPr>
        <w:spacing w:line="360" w:lineRule="auto"/>
        <w:jc w:val="both"/>
        <w:rPr>
          <w:sz w:val="28"/>
          <w:szCs w:val="28"/>
        </w:rPr>
      </w:pPr>
      <w:r>
        <w:rPr>
          <w:sz w:val="28"/>
          <w:szCs w:val="28"/>
        </w:rPr>
        <w:tab/>
        <w:t>Таким чином, сучасна геодезія базується на поєднанні класичних принципів точності та перевіреності з новими підходами - цифровою інтеграцією, автоматизацією та аналітичним управлінням даними. Ця синергія забезпечує безпечну, ефективну та екологічно збалансовану роботу гірничодобувних підприємств [42, 50]. Геодезія 21-го століття - це не лише вимірювання, а й стратегічний аналіз, що формує основу цифрового майбутнього гірничодобувної промисловості України.</w:t>
      </w:r>
    </w:p>
    <w:p>
      <w:pPr>
        <w:spacing w:line="360" w:lineRule="auto"/>
        <w:jc w:val="center"/>
        <w:rPr>
          <w:b/>
          <w:bCs/>
          <w:sz w:val="28"/>
          <w:szCs w:val="28"/>
        </w:rPr>
      </w:pPr>
      <w:r>
        <w:rPr>
          <w:b/>
          <w:bCs/>
          <w:sz w:val="28"/>
          <w:szCs w:val="28"/>
        </w:rPr>
        <w:t>3.2. Сучасні методи дослідження просторових структур у шахтах</w:t>
      </w:r>
    </w:p>
    <w:p>
      <w:pPr>
        <w:spacing w:line="360" w:lineRule="auto"/>
        <w:jc w:val="both"/>
        <w:rPr>
          <w:sz w:val="28"/>
          <w:szCs w:val="28"/>
        </w:rPr>
      </w:pPr>
      <w:r>
        <w:rPr>
          <w:sz w:val="28"/>
          <w:szCs w:val="28"/>
        </w:rPr>
        <w:tab/>
        <w:t>Розвиток цифрових технологій докорінно змінив підхід до вимірювань у геодезії. Якщо раніше точність досягалася шляхом багаторазових ручних спостережень та статистичного контролю похибок, то сучасні підходи спираються на автоматизовані та високотехнологічні системи збору даних, які забезпечують безперервний моніторинг стану гірничих споруд у режимі реального часу [3, 9, 12]. Сучасна геодезія зосереджена не лише на точності вимірювань, але й на їх швидкості, інтеграції та здатності прогнозувати зміни просторових параметрів об'єктів.</w:t>
      </w:r>
    </w:p>
    <w:p>
      <w:pPr>
        <w:spacing w:line="360" w:lineRule="auto"/>
        <w:jc w:val="both"/>
        <w:rPr>
          <w:sz w:val="28"/>
          <w:szCs w:val="28"/>
        </w:rPr>
      </w:pPr>
      <w:r>
        <w:rPr>
          <w:sz w:val="28"/>
          <w:szCs w:val="28"/>
        </w:rPr>
        <w:tab/>
        <w:t>Одним із найважливіших технологічних досягнень є лазерне сканування (LiDAR). Засноване на принципі відбиття лазерного променя від поверхні об'єкта, воно дозволяє отримувати мільйони координатних точок за лічені секунди [5, 18, 26]. Використання наземних та мобільних сканерів (наприклад, Leica ScanStation, RIEGL, Faro Focus) забезпечує точність у межах 2–3 мм при швидкості збору даних до 1 мільйона точок за секунду. Лазерне сканування використовується для побудови тривимірних моделей виробок, контролю деформації кріплень та моніторингу геометрії кар'єрів та підземних порожнин. У Криворізькій області ця технологія активно використовується на глибоких шахтах для створення 3D-моделей рудних тіл та для моніторингу стійкості гірських масивів [19, 24].</w:t>
      </w:r>
    </w:p>
    <w:p>
      <w:pPr>
        <w:spacing w:line="360" w:lineRule="auto"/>
        <w:jc w:val="both"/>
        <w:rPr>
          <w:sz w:val="28"/>
          <w:szCs w:val="28"/>
        </w:rPr>
      </w:pPr>
      <w:r>
        <w:rPr>
          <w:sz w:val="28"/>
          <w:szCs w:val="28"/>
        </w:rPr>
        <w:tab/>
        <w:t>Ще одним напрямком розвитку є використання безпілотних літальних апаратів (БПЛА) для гірничих досліджень відкритих розробок. Оснащені високоточною GNSS-навігацією та фотограмметричними камерами, дрони можуть виконувати аерофотозйомку великих площ за кілька годин, створюючи ортофотоплани з роздільною здатністю до 2 см/піксель [15, 22, 28]. Отримані дані обробляються за допомогою програмного забезпечення, такого як Agisoft Metashape, Pix4D або DroneDeploy, для створення цифрових моделей місцевості та об'єктів. В результаті геодезисти отримують тривимірні моделі кар'єрів та відвалів, що дозволяє їм швидко визначати обсяги видобутку, оцінювати деформації та контролювати зміни в місцевості [20, 30].</w:t>
      </w:r>
    </w:p>
    <w:p>
      <w:pPr>
        <w:spacing w:line="360" w:lineRule="auto"/>
        <w:jc w:val="both"/>
        <w:rPr>
          <w:sz w:val="28"/>
          <w:szCs w:val="28"/>
        </w:rPr>
      </w:pPr>
      <w:r>
        <w:rPr>
          <w:sz w:val="28"/>
          <w:szCs w:val="28"/>
        </w:rPr>
        <w:tab/>
        <w:t>Супутникові технології, такі як GNSS (Глобальні навігаційні супутникові системи), відіграють вирішальну роль у визначенні координат у режимі реального часу з точністю до сантиметра. Системи RTK (кінематика в реальному часі) та PPK (кінематика після обробки) дозволяють проводити дослідження з високою продуктивністю навіть у складних умовах відкритого видобутку [13, 17, 32]. У поєднанні з автоматизованими теодолітами вони створюють мережі для безперервного моніторингу, які фіксують навіть найменші зміщення точок. У підземних умовах для компенсації втрати супутникових сигналів використовується метод передачі координат за допомогою гіроскопічних систем та волоконно-оптичних датчиків [27, 34].</w:t>
      </w:r>
    </w:p>
    <w:p>
      <w:pPr>
        <w:spacing w:line="360" w:lineRule="auto"/>
        <w:jc w:val="both"/>
        <w:rPr>
          <w:sz w:val="28"/>
          <w:szCs w:val="28"/>
        </w:rPr>
      </w:pPr>
      <w:r>
        <w:rPr>
          <w:sz w:val="28"/>
          <w:szCs w:val="28"/>
        </w:rPr>
        <w:tab/>
        <w:t>Високоточні електронні теодоліти залишаються одним із найважливіших інструментів для сучасних геодезистів. Сучасні прилади поєднують такі функції, як кутові та лінійні вимірювання, обробка даних та передача результатів на комп'ютер або хмарне сховище. Наприклад, теодоліти Leica TS16 або Trimble S9 можуть автоматично відстежувати рухомі призми, що дозволяє проводити вимірювання без втручання оператора [23, 31, 33]. Це значно скорочує час, витрачений на польові роботи, та підвищує безпеку працівників. Деякі кар'єри в Кривбасі вже мають автоматизовані тахеометри, які цілодобово контролюють борти та тераси, навіть виявляючи незначні рухи ґрунту [16, 35].</w:t>
      </w:r>
    </w:p>
    <w:p>
      <w:pPr>
        <w:spacing w:line="360" w:lineRule="auto"/>
        <w:jc w:val="both"/>
        <w:rPr>
          <w:sz w:val="28"/>
          <w:szCs w:val="28"/>
        </w:rPr>
      </w:pPr>
      <w:r>
        <w:rPr>
          <w:sz w:val="28"/>
          <w:szCs w:val="28"/>
        </w:rPr>
        <w:tab/>
        <w:t>Підземні геодезичні системи все частіше оснащуються сенсорними мережами, які вимірюють нахили, деформації та вібрації. Ці системи використовують акселерометри, інклінометри та волоконно-оптичні датчики, які передають інформацію через дротові або бездротові канали [21, 29, 36]. Зібрані дані аналізуються автоматично, і у разі перевищення порогових значень система надсилає сповіщення до диспетчерського центру. Це дозволяє своєчасно реагувати на потенційно небезпечні зміни в конструкціях та допомагає запобігти аваріям.</w:t>
      </w:r>
    </w:p>
    <w:p>
      <w:pPr>
        <w:spacing w:line="360" w:lineRule="auto"/>
        <w:jc w:val="both"/>
        <w:rPr>
          <w:sz w:val="28"/>
          <w:szCs w:val="28"/>
        </w:rPr>
      </w:pPr>
      <w:r>
        <w:rPr>
          <w:sz w:val="28"/>
          <w:szCs w:val="28"/>
        </w:rPr>
        <w:tab/>
        <w:t>Виник окремий напрямок досліджень: автоматизація моніторингу геомеханічних процесів. Сучасні системи використовують комбінацію лазерного сканування, супутникової інтерферометрії (InSAR) та наземних радарів для виявлення зсувів та просідань з точністю до кількох міліметрів [25, 37, 39]. Метод InSAR, який базується на аналізі радіохвильових перешкод, дозволяє спостерігати великі площі без фізичного доступу, що особливо важливо для кар'єрів та зон промислової деформації. У поєднанні з ГІС ці дані дозволяють створювати карти ризиків та планувати стабілізаційні заходи для територій.</w:t>
      </w:r>
    </w:p>
    <w:p>
      <w:pPr>
        <w:spacing w:line="360" w:lineRule="auto"/>
        <w:jc w:val="both"/>
        <w:rPr>
          <w:sz w:val="28"/>
          <w:szCs w:val="28"/>
        </w:rPr>
      </w:pPr>
      <w:r>
        <w:rPr>
          <w:sz w:val="28"/>
          <w:szCs w:val="28"/>
        </w:rPr>
        <w:tab/>
        <w:t>Важливим компонентом сучасних технологій є використання інтелектуальних систем обробки даних, які застосовують алгоритми штучного інтелекту для виявлення закономірностей та прогнозування тенденцій [38, 40]. Машинне навчання дозволяє автоматично класифікувати ділянки за рівнем небезпеки, визначати ймовірні напрямки деформації та аналізувати ефективність гірничих процесів. Використання великих даних дозволяє зберігати історію вимірювань, відстежувати зміни з часом та генерувати аналітичні звіти в режимі реального часу.</w:t>
      </w:r>
    </w:p>
    <w:p>
      <w:pPr>
        <w:spacing w:line="360" w:lineRule="auto"/>
        <w:jc w:val="both"/>
        <w:rPr>
          <w:sz w:val="28"/>
          <w:szCs w:val="28"/>
        </w:rPr>
      </w:pPr>
      <w:r>
        <w:rPr>
          <w:sz w:val="28"/>
          <w:szCs w:val="28"/>
        </w:rPr>
        <w:tab/>
        <w:t>Ще однією важливою тенденцією є створення мереж цифрового моніторингу, які поєднують усі типи вимірювальних приладів. Такі системи, як Leica GeoMoS, Trimble 4D Control або Topcon Delta Watch, забезпечують повну інтеграцію даних тахеометрів, GNSS-станцій, інклінометрів та лазерних сканерів в єдиній базі даних [41, 42, 45]. Результатом є тривимірна модель шахти, яка оновлюється в режимі реального часу. Це дозволяє геодезисту не тільки бачити поточний стан виробок, але й прогнозувати їхню поведінку на основі аналізу тенденцій.</w:t>
      </w:r>
    </w:p>
    <w:p>
      <w:pPr>
        <w:spacing w:line="360" w:lineRule="auto"/>
        <w:jc w:val="both"/>
        <w:rPr>
          <w:sz w:val="28"/>
          <w:szCs w:val="28"/>
        </w:rPr>
      </w:pPr>
      <w:r>
        <w:rPr>
          <w:sz w:val="28"/>
          <w:szCs w:val="28"/>
        </w:rPr>
        <w:tab/>
        <w:t>В Україні такі технології поступово впроваджуються в рамках проектів цифрової трансформації в гірничодобувній галузі. Зокрема, у Кривому Розі впроваджується кілька програм автоматизованого моніторингу стану гірничих об'єктів, що поєднують дані лазерного сканування, теодолітних спостережень та сенсорних систем [43, 46, 49]. Це створює основу для формування «розумних шахт», де всі технологічні процеси підпорядковуються єдиній системі управління просторовою інформацією.</w:t>
      </w:r>
    </w:p>
    <w:p>
      <w:pPr>
        <w:spacing w:line="360" w:lineRule="auto"/>
        <w:jc w:val="both"/>
        <w:rPr>
          <w:sz w:val="28"/>
          <w:szCs w:val="28"/>
        </w:rPr>
      </w:pPr>
      <w:r>
        <w:rPr>
          <w:sz w:val="28"/>
          <w:szCs w:val="28"/>
        </w:rPr>
        <w:tab/>
        <w:t>Таким чином, сучасні технології вимірювання та моніторингу забезпечують якісно новий рівень точності, безпеки та аналітичних можливостей при геодезії гірничодобувних підприємств [44, 50]. Вони поєднують автоматизовані засоби збору даних, супутникові системи, штучний інтелект та цифрові платформи, створюючи комплексний простір для управління інформацією про геометрію гірничих споруд. У майбутньому такі системи стануть основою для повної автоматизації гірничого виробництва, де геодезист відіграватиме роль оператора аналітичного управління геопросторовими процесами.</w:t>
      </w:r>
    </w:p>
    <w:p>
      <w:pPr>
        <w:spacing w:line="360" w:lineRule="auto"/>
        <w:jc w:val="center"/>
        <w:rPr>
          <w:b/>
          <w:bCs/>
          <w:sz w:val="28"/>
          <w:szCs w:val="28"/>
        </w:rPr>
      </w:pPr>
      <w:r>
        <w:rPr>
          <w:b/>
          <w:bCs/>
          <w:sz w:val="28"/>
          <w:szCs w:val="28"/>
        </w:rPr>
        <w:t>3.3. Застосування цифрових технологій</w:t>
      </w:r>
    </w:p>
    <w:p>
      <w:pPr>
        <w:spacing w:line="360" w:lineRule="auto"/>
        <w:jc w:val="both"/>
        <w:rPr>
          <w:sz w:val="28"/>
          <w:szCs w:val="28"/>
        </w:rPr>
      </w:pPr>
      <w:r>
        <w:rPr>
          <w:sz w:val="28"/>
          <w:szCs w:val="28"/>
        </w:rPr>
        <w:tab/>
        <w:t>Інтеграція цифрових технологій є ключовим етапом еволюції сучасної геодезії. Вона перетворює окремі інструменти збору та обробки даних на єдину інтелектуальну систему управління просторовою інформацією, забезпечуючи повний цикл - від вимірювання до управлінських рішень [5, 13, 17]. Такий підхід лежить в основі концепції «розумного гірничодобувного підприємства» (Smart Mine), де геодезичний відділ стає центром інтеграції просторових, технологічних та аналітичних процесів.</w:t>
      </w:r>
    </w:p>
    <w:p>
      <w:pPr>
        <w:spacing w:line="360" w:lineRule="auto"/>
        <w:jc w:val="both"/>
        <w:rPr>
          <w:sz w:val="28"/>
          <w:szCs w:val="28"/>
        </w:rPr>
      </w:pPr>
      <w:r>
        <w:rPr>
          <w:sz w:val="28"/>
          <w:szCs w:val="28"/>
        </w:rPr>
        <w:tab/>
        <w:t>Головна ідея інтеграції полягає в об'єднанні всіх цифрових платформ та пристроїв в єдиному інформаційному просторі. Кожен пристрій - GNSS-приймач, лазерний сканер, тахеометр, дрон або датчик деформації - передає дані до центрального сховища, де вони автоматично синхронізуються, обробляються та перетворюються на тривимірні моделі [9, 24]. На практиці це реалізується за допомогою систем інфраструктури просторових даних (SDI) та цифрових хабів, які забезпечують сумісність між різними форматами та програмними продуктами.</w:t>
      </w:r>
    </w:p>
    <w:p>
      <w:pPr>
        <w:spacing w:line="360" w:lineRule="auto"/>
        <w:jc w:val="both"/>
        <w:rPr>
          <w:sz w:val="28"/>
          <w:szCs w:val="28"/>
        </w:rPr>
      </w:pPr>
      <w:r>
        <w:rPr>
          <w:sz w:val="28"/>
          <w:szCs w:val="28"/>
        </w:rPr>
        <w:tab/>
        <w:t>Цифрові двійники шахт є найяскравішим прикладом інтеграції. Вони поєднують дані з різних джерел, таких як геодезичні вимірювання, геологічні розрізи, схеми вентиляції, системи безпеки та моніторинг деформацій [12, 18, 25]. У режимі реального часу цифровий двійник відображає стан шахти, дозволяючи бачити зміни положення виробок, відстежувати зсуви, прогнозувати небезпечні ситуації та планувати майбутні роботи. Такі системи використовуються на сучасних шахтах ЄС, Канади та Австралії, і починають впроваджуватися на гірничодобувних підприємствах України, зокрема в Криворізькому залізорудному басейні [19, 29, 33].</w:t>
      </w:r>
    </w:p>
    <w:p>
      <w:pPr>
        <w:spacing w:line="360" w:lineRule="auto"/>
        <w:jc w:val="both"/>
        <w:rPr>
          <w:sz w:val="28"/>
          <w:szCs w:val="28"/>
        </w:rPr>
      </w:pPr>
      <w:r>
        <w:rPr>
          <w:sz w:val="28"/>
          <w:szCs w:val="28"/>
        </w:rPr>
        <w:tab/>
        <w:t>Інтеграція геоінформаційних систем (ГІС) з геодезичними базами даних є важливою. У сучасних умовах ГІС виступає центральною платформою для управління просторовими даними - від введення первинних вимірювань до побудови аналітичних карт [14, 26, 31]. Програмні комплекси, такі як ArcGIS, QGIS та MapInfo Professional, дозволяють поєднувати плани гірничих виробок з геологічними розрізами, гідрогеологічними даними та інформацією про технічний стан споруд. Це дає геодезисту повне уявлення про структуру шахти, а інженерам доступ до актуальної інформації для планування технологічних процесів.</w:t>
      </w:r>
    </w:p>
    <w:p>
      <w:pPr>
        <w:spacing w:line="360" w:lineRule="auto"/>
        <w:jc w:val="both"/>
        <w:rPr>
          <w:sz w:val="28"/>
          <w:szCs w:val="28"/>
        </w:rPr>
      </w:pPr>
      <w:r>
        <w:rPr>
          <w:sz w:val="28"/>
          <w:szCs w:val="28"/>
        </w:rPr>
        <w:tab/>
        <w:t>Одним із ключових напрямків інтеграції стало використання хмарних технологій та серверних систем зберігання даних. Хмарні платформи, такі як Trimble Connect, Leica Infinity Cloud та Autodesk BIM 360, дозволяють інженерам, геодезистам та керівництву співпрацювати в режимі реального часу [20, 28, 36]. Кожен користувач має доступ до центральної бази даних, де зберігаються результати геодезичних досліджень, 3D-моделі, креслення, плани та звіти. Завдяки системі контрольованого доступу та автоматичного резервного копіювання ризик втрати інформації мінімізований.</w:t>
      </w:r>
    </w:p>
    <w:p>
      <w:pPr>
        <w:spacing w:line="360" w:lineRule="auto"/>
        <w:jc w:val="both"/>
        <w:rPr>
          <w:sz w:val="28"/>
          <w:szCs w:val="28"/>
        </w:rPr>
      </w:pPr>
      <w:r>
        <w:rPr>
          <w:sz w:val="28"/>
          <w:szCs w:val="28"/>
        </w:rPr>
        <w:tab/>
        <w:t>Інтеграція також охоплює взаємодію між програмними середовищами різних виробників. У геодезичній практиці концепція BIM (Building Information Modelling) використовується для створення цифрових моделей гірничих об'єктів, де кожен елемент має не лише геометричні, а й атрибутивні характеристики [22, 30, 38]. BIM-моделі дозволяють візуалізувати гірничі виробки, вентиляційні шахти, підземні комунікації, обладнання та зони безпеки в єдиному інтерактивному середовищі. Інтеграція BIM та ГІС створює безперервний потік інформації між підземною та наземною частинами виробничого процесу.</w:t>
      </w:r>
    </w:p>
    <w:p>
      <w:pPr>
        <w:spacing w:line="360" w:lineRule="auto"/>
        <w:jc w:val="both"/>
        <w:rPr>
          <w:sz w:val="28"/>
          <w:szCs w:val="28"/>
        </w:rPr>
      </w:pPr>
      <w:r>
        <w:rPr>
          <w:sz w:val="28"/>
          <w:szCs w:val="28"/>
        </w:rPr>
        <w:tab/>
        <w:t>Сучасні геодезичні системи активно використовують Інтернет речей (IoT) для автоматичного збору та передачі даних з датчиків [27, 34]. В рамках інтегрованої мережі IoT пристрої реєструють такі параметри, як нахил, температура, вологість та вібрація, і передають їх у режимі реального часу до центральної бази даних. У поєднанні зі штучним інтелектом (ШІ) це дозволяє не тільки реєструвати зміни, але й прогнозувати можливі руйнування конструкцій або нестабільність ґрунтів [35, 40].</w:t>
      </w:r>
    </w:p>
    <w:p>
      <w:pPr>
        <w:spacing w:line="360" w:lineRule="auto"/>
        <w:jc w:val="both"/>
        <w:rPr>
          <w:sz w:val="28"/>
          <w:szCs w:val="28"/>
        </w:rPr>
      </w:pPr>
      <w:r>
        <w:rPr>
          <w:sz w:val="28"/>
          <w:szCs w:val="28"/>
        </w:rPr>
        <w:tab/>
        <w:t>Інтеграція цифрових технологій вимагає уніфікації форматів даних та дотримання міжнародних стандартів. Найважливішими є стандарти серії ISO 19100 (геопросторові дані), OGC (Open Geospatial Consortium) та IFC (Industry Foundation Classes), які визначають структуру та правила обміну інформацією між системами [32, 37, 41]. Дотримання цих стандартів забезпечує сумісність даних між різними платформами, незалежно від виробника обладнання чи програмного забезпечення. Це особливо важливо для компаній, де одночасно використовуються продукти Leica, Trimble, Topcon та Autodesk.</w:t>
      </w:r>
    </w:p>
    <w:p>
      <w:pPr>
        <w:spacing w:line="360" w:lineRule="auto"/>
        <w:jc w:val="both"/>
        <w:rPr>
          <w:sz w:val="28"/>
          <w:szCs w:val="28"/>
        </w:rPr>
      </w:pPr>
      <w:r>
        <w:rPr>
          <w:sz w:val="28"/>
          <w:szCs w:val="28"/>
        </w:rPr>
        <w:tab/>
        <w:t>Значну роль у процесі інтеграції відіграє візуалізація даних. Сучасні програмні пакети дозволяють відображати 3D-моделі у VR (віртуальній реальності) та AR (доповненій реальності), що дозволяє геодезистам та проектувальникам буквально «крочити» в простір шахти [39, 43, 45]. Такий тип візуалізації полегшує прийняття рішень під час проектування або ремонту гірничих споруд, оскільки дозволяє оцінити конфлікти між комунікаціями, визначити оптимальні маршрути та змоделювати поведінку гірських порід під навантаженням.</w:t>
      </w:r>
    </w:p>
    <w:p>
      <w:pPr>
        <w:spacing w:line="360" w:lineRule="auto"/>
        <w:jc w:val="both"/>
        <w:rPr>
          <w:sz w:val="28"/>
          <w:szCs w:val="28"/>
        </w:rPr>
      </w:pPr>
      <w:r>
        <w:rPr>
          <w:sz w:val="28"/>
          <w:szCs w:val="28"/>
        </w:rPr>
        <w:tab/>
        <w:t>Криворізький залізорудний басейн є одним із найперспективніших місць для впровадження інтегрованих цифрових систем маркшейдерії</w:t>
      </w:r>
      <w:r>
        <w:rPr>
          <w:sz w:val="28"/>
          <w:szCs w:val="28"/>
        </w:rPr>
        <w:t xml:space="preserve"> в Україні. Тут реалізуються пілотні проекти, що поєднують лазерне сканування, безпілотну аерофотозйомку, автоматизовані теодоліти та геоінформаційні системи в єдиній екосистемі для управління просторовими даними [10, 29, 46]. Такі рішення дозволяють скоротити час обробки майже в 5 разів, мінімізувати похибки позиціонування до 2–3 см та підтримувати повний контроль над станом шахтних споруд у режимі реального часу.</w:t>
      </w:r>
      <w:r>
        <w:rPr>
          <w:sz w:val="28"/>
          <w:szCs w:val="28"/>
        </w:rPr>
      </w:r>
    </w:p>
    <w:p>
      <w:pPr>
        <w:spacing w:line="360" w:lineRule="auto"/>
        <w:jc w:val="both"/>
        <w:rPr>
          <w:sz w:val="28"/>
          <w:szCs w:val="28"/>
        </w:rPr>
      </w:pPr>
      <w:r>
        <w:rPr>
          <w:sz w:val="28"/>
          <w:szCs w:val="28"/>
        </w:rPr>
        <w:tab/>
        <w:t>Тому інтеграція цифрових технологій у геодезию - це не просто технологічна модернізація, а фундаментальна зміна парадигми геодезії. Вона створює умови для переходу від фрагментованих вимірювань до системного управління гірничими процесами, підвищення точності, швидкості та аналітичної глибини рішень [42, 47, 50]. Цифрова інтеграція робить геодезичну службу стратегічним центром цифрової трансформації гірничодобувної промисловості, що відповідає сучасним світовим тенденціям розвитку інженерії.</w:t>
      </w:r>
    </w:p>
    <w:p>
      <w:pPr>
        <w:spacing w:line="360" w:lineRule="auto"/>
        <w:jc w:val="center"/>
        <w:rPr>
          <w:b/>
          <w:bCs/>
          <w:sz w:val="28"/>
          <w:szCs w:val="28"/>
        </w:rPr>
      </w:pPr>
      <w:r>
        <w:rPr>
          <w:b/>
          <w:bCs/>
          <w:sz w:val="28"/>
          <w:szCs w:val="28"/>
        </w:rPr>
        <w:t>3.4. Практичне значення запропонованих підходів для маркшейдерії</w:t>
      </w:r>
      <w:r>
        <w:rPr>
          <w:b/>
          <w:bCs/>
          <w:sz w:val="28"/>
          <w:szCs w:val="28"/>
        </w:rPr>
      </w:r>
    </w:p>
    <w:p>
      <w:pPr>
        <w:spacing w:line="360" w:lineRule="auto"/>
        <w:jc w:val="both"/>
        <w:rPr>
          <w:sz w:val="28"/>
          <w:szCs w:val="28"/>
        </w:rPr>
      </w:pPr>
      <w:r>
        <w:rPr>
          <w:sz w:val="28"/>
          <w:szCs w:val="28"/>
        </w:rPr>
        <w:tab/>
        <w:t>Автоматизація та впровадження штучного інтелекту (ШІ) стали ключовими факторами переходу геодезії від традиційних методів вимірювання до цифрової інженерної системи управління гірничими процесами. У сучасних умовах геодезична служба вже не є просто джерелом координат та геометрії - вона стає аналітичним ядром, що забезпечує обробку, аналіз та прогнозування просторових змін у режимі реального часу [5, 14, 18].</w:t>
      </w:r>
    </w:p>
    <w:p>
      <w:pPr>
        <w:spacing w:line="360" w:lineRule="auto"/>
        <w:jc w:val="both"/>
        <w:rPr>
          <w:sz w:val="28"/>
          <w:szCs w:val="28"/>
        </w:rPr>
      </w:pPr>
      <w:r>
        <w:rPr>
          <w:sz w:val="28"/>
          <w:szCs w:val="28"/>
        </w:rPr>
        <w:tab/>
        <w:t>Основним завданням автоматизації є мінімізація людських помилок, підвищення точності та швидкості збору даних. Сучасні автоматизовані системи геодезичного контролю включають комбінацію апаратних та програмних компонентів, які безперервно вимірюють просторові параметри, обробляють результати та передають їх аналітичним модулям [11, 17, 25]. Наприклад, автоматизовані теодолітні станції (АТС) можуть безперервно контролювати положення контрольних точок на поверхні кар'єру, навіть виявляючи міліметрові зміщення схилів. У підземних умовах сенсорні мережі з акселерометрами та інклінометрами використовуються для формування системи раннього попередження про структурні деформації [22, 27, 34].</w:t>
      </w:r>
    </w:p>
    <w:p>
      <w:pPr>
        <w:spacing w:line="360" w:lineRule="auto"/>
        <w:jc w:val="both"/>
        <w:rPr>
          <w:sz w:val="28"/>
          <w:szCs w:val="28"/>
        </w:rPr>
      </w:pPr>
      <w:r>
        <w:rPr>
          <w:sz w:val="28"/>
          <w:szCs w:val="28"/>
        </w:rPr>
        <w:tab/>
        <w:t>В гірничодобувній промисловості України автоматизація поступово стає частиною всіх рівнів маркшейдерських робіт, від збору даних до управління процесами. Наприклад, деякі підприємства Криворізького басейну впровадили комплексні системи моніторингу, що поєднують лазерне сканування, супутникову навігацію, підземні сенсорні мережі та цифрові моделі рельєфу [15, 23, 29]. Ці рішення не тільки дозволяють спостерігати за геометрією виробок, але й інтегрувати дані в систему керування гірничодобувною технікою, відкриваючи шлях до повної автоматизації циклу видобутку.</w:t>
      </w:r>
    </w:p>
    <w:p>
      <w:pPr>
        <w:spacing w:line="360" w:lineRule="auto"/>
        <w:jc w:val="both"/>
        <w:rPr>
          <w:sz w:val="28"/>
          <w:szCs w:val="28"/>
        </w:rPr>
      </w:pPr>
      <w:r>
        <w:rPr>
          <w:sz w:val="28"/>
          <w:szCs w:val="28"/>
        </w:rPr>
        <w:tab/>
        <w:t>Автоматизація процесів маркшейдерських процесів</w:t>
      </w:r>
      <w:r>
        <w:rPr>
          <w:sz w:val="28"/>
          <w:szCs w:val="28"/>
        </w:rPr>
        <w:t xml:space="preserve"> реалізується на трьох основних рівнях: </w:t>
      </w:r>
      <w:r>
        <w:rPr>
          <w:sz w:val="28"/>
          <w:szCs w:val="28"/>
        </w:rPr>
        <w:t>з</w:t>
      </w:r>
      <w:r>
        <w:rPr>
          <w:sz w:val="28"/>
          <w:szCs w:val="28"/>
        </w:rPr>
        <w:t xml:space="preserve">бір даних - використання автономних приладів та датчиків, здатних працювати без втручання оператора; </w:t>
      </w:r>
      <w:r>
        <w:rPr>
          <w:sz w:val="28"/>
          <w:szCs w:val="28"/>
        </w:rPr>
        <w:t>р</w:t>
      </w:r>
      <w:r>
        <w:rPr>
          <w:sz w:val="28"/>
          <w:szCs w:val="28"/>
        </w:rPr>
        <w:t xml:space="preserve">івень обробки включає застосування алгоритмів для автоматичної фільтрації, класифікації та калібрування результатів; </w:t>
      </w:r>
      <w:r>
        <w:rPr>
          <w:sz w:val="28"/>
          <w:szCs w:val="28"/>
        </w:rPr>
        <w:t>р</w:t>
      </w:r>
      <w:r>
        <w:rPr>
          <w:sz w:val="28"/>
          <w:szCs w:val="28"/>
        </w:rPr>
        <w:t>івень контролю включає автоматичну обробку даних та формування сповіщень у разі критичних відхилень [19, 26, 35].</w:t>
      </w:r>
      <w:r>
        <w:rPr>
          <w:sz w:val="28"/>
          <w:szCs w:val="28"/>
        </w:rPr>
      </w:r>
    </w:p>
    <w:p>
      <w:pPr>
        <w:spacing w:line="360" w:lineRule="auto"/>
        <w:jc w:val="both"/>
        <w:rPr>
          <w:sz w:val="28"/>
          <w:szCs w:val="28"/>
        </w:rPr>
      </w:pPr>
      <w:r>
        <w:rPr>
          <w:sz w:val="28"/>
          <w:szCs w:val="28"/>
        </w:rPr>
        <w:tab/>
        <w:t>Інтелектуальні системи аналізу даних, побудовані на технологіях машинного навчання (МН) та штучного інтелекту (ШІ), відіграють ключову роль у цьому процесі. Алгоритми ШІ можуть обробляти великі обсяги просторових та часових даних, виявляти закономірності, класифікувати зони ризику та будувати прогнозні моделі розвитку ситуації [30, 37]. Наприклад, нейронні мережі використовуються для автоматичного виявлення деформацій на 3D-моделях, побудованих за результатами лазерного сканування, або для визначення руху країв кар'єру за супутниковими знімками.</w:t>
      </w:r>
    </w:p>
    <w:p>
      <w:pPr>
        <w:spacing w:line="360" w:lineRule="auto"/>
        <w:jc w:val="both"/>
        <w:rPr>
          <w:sz w:val="28"/>
          <w:szCs w:val="28"/>
        </w:rPr>
      </w:pPr>
      <w:r>
        <w:rPr>
          <w:sz w:val="28"/>
          <w:szCs w:val="28"/>
        </w:rPr>
        <w:tab/>
        <w:t>Одним з найважливіших напрямків є створення автоматизованих систем попередження про небезпечні ситуації. Ці системи поєднують датчики деформації, гідрологічні датчики, системи георадарного спостереження та аналітичні модулі ШІ, які визначають ймовірність аварійних змін [21, 33, 38]. Наприклад, якщо система виявляє надмірне зміщення або підвищену вологість у породі, алгоритм аналізує закономірності попередніх подій та автоматично видає тривогу. Це дозволяє запобігти потенційним катастрофам, таким як обвали породи, затоплення або обвалення опор.</w:t>
      </w:r>
    </w:p>
    <w:p>
      <w:pPr>
        <w:spacing w:line="360" w:lineRule="auto"/>
        <w:jc w:val="both"/>
        <w:rPr>
          <w:sz w:val="28"/>
          <w:szCs w:val="28"/>
        </w:rPr>
      </w:pPr>
      <w:r>
        <w:rPr>
          <w:sz w:val="28"/>
          <w:szCs w:val="28"/>
        </w:rPr>
        <w:tab/>
        <w:t>Штучний інтелект також відіграє значну роль у плануванні та оптимізації маркшейдерських робіт. Використання алгоритмів оптимізації дозволяє визначити найраціональніші маршрути, мінімізувати обсяги матеріалу та зменшити енергоспоживання обладнання [28, 39]. У поєднанні з цифровими двійниками шахт, ШІ створює інтерактивне середовище, в якому можна моделювати різні сценарії розвитку виробництва, від вибору району видобутку до прогнозування довгострокових геомеханічних змін.</w:t>
      </w:r>
    </w:p>
    <w:p>
      <w:pPr>
        <w:spacing w:line="360" w:lineRule="auto"/>
        <w:jc w:val="both"/>
        <w:rPr>
          <w:sz w:val="28"/>
          <w:szCs w:val="28"/>
        </w:rPr>
      </w:pPr>
      <w:r>
        <w:rPr>
          <w:sz w:val="28"/>
          <w:szCs w:val="28"/>
        </w:rPr>
        <w:tab/>
        <w:t>Використання технологій комп'ютерного зору та розпізнавання зображень дозволяє автоматизувати контроль стану гірничого обладнання та поверхні породи. Камери високої роздільної здатності в поєднанні з алгоритмами обробки зображень виявляють тріщини, порожнини та зони ослаблених кріплень [32, 36, 40]. Отримані результати негайно передаються до системи управління, де класифікуються об'єкти та формуються пріоритети для ремонтних бригад. Таким чином, маркшейдерський відділ отримує аналітичні та оперативні інструменти для реагування.</w:t>
      </w:r>
    </w:p>
    <w:p>
      <w:pPr>
        <w:spacing w:line="360" w:lineRule="auto"/>
        <w:jc w:val="both"/>
        <w:rPr>
          <w:sz w:val="28"/>
          <w:szCs w:val="28"/>
        </w:rPr>
      </w:pPr>
      <w:r>
        <w:rPr>
          <w:sz w:val="28"/>
          <w:szCs w:val="28"/>
        </w:rPr>
        <w:tab/>
        <w:t>Одним із найперспективніших напрямків є автоматизація взаємодії між геодезичними системами та автономною технікою. Сучасні гірничодобувні машини, бурові установки та транспортні засоби оснащені системами автоматичного позиціонування, які працюють у тісному зв'язку з геодезичними мережами [24, 31, 42]. Це дозволяє координувати рух техніки, контролювати точність буріння, відстежувати положення робочого фронту та запобігати зіткненням або виходу машин з безпечних зон.</w:t>
      </w:r>
    </w:p>
    <w:p>
      <w:pPr>
        <w:spacing w:line="360" w:lineRule="auto"/>
        <w:jc w:val="both"/>
        <w:rPr>
          <w:sz w:val="28"/>
          <w:szCs w:val="28"/>
        </w:rPr>
      </w:pPr>
      <w:r>
        <w:rPr>
          <w:sz w:val="28"/>
          <w:szCs w:val="28"/>
        </w:rPr>
        <w:tab/>
        <w:t>Ще одним важливим напрямком є ​​розробка аналітичних систем прогнозування на основі концепції великих даних (Big Data). Величезні обсяги даних від датчиків, теодолітів, лазерних сканерів та супутників накопичуються в єдиній базі даних, де алгоритми штучного інтелекту проводять статистичний аналіз та виявляють довгострокові тенденції [20, 41, 45]. Такі моделі можуть прогнозувати швидкість просідання, напрямок зсувів або деформацію конструкцій задовго до їх виникнення. Це відкриває можливості побудови систем проактивного управління ризиками на основі прогнозних сценаріїв.</w:t>
      </w:r>
    </w:p>
    <w:p>
      <w:pPr>
        <w:spacing w:line="360" w:lineRule="auto"/>
        <w:jc w:val="both"/>
        <w:rPr>
          <w:sz w:val="28"/>
          <w:szCs w:val="28"/>
        </w:rPr>
      </w:pPr>
      <w:r>
        <w:rPr>
          <w:sz w:val="28"/>
          <w:szCs w:val="28"/>
        </w:rPr>
        <w:tab/>
        <w:t>Штучний інтелект також активно впроваджується в постобробку гірничих вимірювань. Наприклад, у програмах Trimble Business Center, Leica Infinity або SurvCE використовуються алгоритми машинного навчання для автоматичного очищення хмар точок, виявлення шуму, об'єднання сканів та створення топологічно узгоджених моделей [43, 47]. Це значно скорочує час, витрачений на офісну роботу, та зменшує ймовірність суб'єктивних помилок під час інтерпретації результатів.</w:t>
      </w:r>
    </w:p>
    <w:p>
      <w:pPr>
        <w:spacing w:line="360" w:lineRule="auto"/>
        <w:jc w:val="both"/>
        <w:rPr>
          <w:sz w:val="28"/>
          <w:szCs w:val="28"/>
        </w:rPr>
      </w:pPr>
      <w:r>
        <w:rPr>
          <w:sz w:val="28"/>
          <w:szCs w:val="28"/>
        </w:rPr>
        <w:tab/>
        <w:t>Однак впровадження автоматизації та ШІ вимагає підготовки нового покоління фахівців. Маркетингові архітектори повинні мати знання не лише з геодезії та гірничої справи, а й з програмування, аналізу даних, нейромережевих технологій та кібербезпеки [16, 44, 48]. Українські технічні університети - Криворізький національний університет, Національний гірничий університет та Львівський політехнічний університет - вже запроваджують навчальні курси з цифрової геодезії, автоматизованих систем моніторингу та штучного інтелекту в гірничодобувній промисловості.</w:t>
      </w:r>
    </w:p>
    <w:p>
      <w:pPr>
        <w:spacing w:line="360" w:lineRule="auto"/>
        <w:jc w:val="both"/>
        <w:rPr>
          <w:sz w:val="28"/>
          <w:szCs w:val="28"/>
        </w:rPr>
      </w:pPr>
      <w:r>
        <w:rPr>
          <w:sz w:val="28"/>
          <w:szCs w:val="28"/>
        </w:rPr>
        <w:tab/>
        <w:t>Таким чином, автоматизація та штучний інтелект не лише покращують традиційні процеси геодезії, але й створюють нову парадигму управління просторовими даними. Вони забезпечують безперервний моніторинг споруд, знижують ризик аварій, підвищують продуктивність та дозволяють перейти від реактивного до прогнозного управління [46, 49, 50]. У майбутньому повна інтеграція автоматизованих систем з аналітичними платформами штучного інтелекту зробить маркшейдерські роботи центральним елементом цифрового гірничого виробництва.</w:t>
      </w:r>
    </w:p>
    <w:p>
      <w:pPr>
        <w:spacing w:line="360" w:lineRule="auto"/>
        <w:jc w:val="center"/>
        <w:rPr>
          <w:b/>
          <w:bCs/>
          <w:sz w:val="28"/>
          <w:szCs w:val="28"/>
          <w:lang w:val="en-us"/>
        </w:rPr>
      </w:pPr>
      <w:r>
        <w:rPr>
          <w:b/>
          <w:bCs/>
          <w:sz w:val="28"/>
          <w:szCs w:val="28"/>
          <w:lang w:val="en-us"/>
        </w:rPr>
        <w:t>3.5. Порівняння</w:t>
      </w:r>
      <w:r>
        <w:rPr>
          <w:b/>
          <w:bCs/>
          <w:sz w:val="28"/>
          <w:szCs w:val="28"/>
          <w:lang w:val="en-us"/>
        </w:rPr>
        <w:t xml:space="preserve"> класичних та сучасних методів</w:t>
      </w:r>
      <w:r>
        <w:rPr>
          <w:b/>
          <w:bCs/>
          <w:sz w:val="28"/>
          <w:szCs w:val="28"/>
          <w:lang w:val="en-us"/>
        </w:rPr>
      </w:r>
    </w:p>
    <w:p>
      <w:pPr>
        <w:spacing w:line="360" w:lineRule="auto"/>
        <w:jc w:val="both"/>
        <w:rPr>
          <w:sz w:val="28"/>
          <w:szCs w:val="28"/>
          <w:lang w:val="en-us"/>
        </w:rPr>
      </w:pPr>
      <w:r>
        <w:rPr>
          <w:sz w:val="28"/>
          <w:szCs w:val="28"/>
          <w:lang w:val="en-us"/>
        </w:rPr>
        <w:tab/>
        <w:t>Порівняння класичних та сучасних методів геодезії необхідне для розуміння еволюції галузі та визначення її майбутнього напрямку. Класичні підходи, розроблені протягом 20 століття, забезпечували високу точність та надійність вимірювань, але вимагали значних трудовитрат та часу. Натомість сучасні цифрові технології базуються на автоматизації, супутникових системах, лазерному скануванні та інтелектуальній аналітиці, що дозволяє значно підвищити ефективність роботи [9, 16, 23].</w:t>
      </w:r>
    </w:p>
    <w:p>
      <w:pPr>
        <w:spacing w:line="360" w:lineRule="auto"/>
        <w:jc w:val="both"/>
        <w:rPr>
          <w:sz w:val="28"/>
          <w:szCs w:val="28"/>
          <w:lang w:val="en-us"/>
        </w:rPr>
      </w:pPr>
      <w:r>
        <w:rPr>
          <w:sz w:val="28"/>
          <w:szCs w:val="28"/>
          <w:lang w:val="en-us"/>
        </w:rPr>
        <w:tab/>
        <w:t>Обидві системи мають спільну мету - створення надійної просторової основи для управління гірничими роботами, але підходи до досягнення цієї мети відрізняються за рівнем реалізації, швидкістю, точністю, рівнем інтеграції та залученням людини до процесу вимірювання [27, 33]. У таблиці 3.5.</w:t>
      </w:r>
      <w:r>
        <w:rPr>
          <w:sz w:val="28"/>
          <w:szCs w:val="28"/>
          <w:lang w:val="en-us"/>
        </w:rPr>
        <w:t xml:space="preserve"> наведено основні відмінності між класичними та сучасними методами геодезії.</w:t>
      </w:r>
      <w:r>
        <w:rPr>
          <w:sz w:val="28"/>
          <w:szCs w:val="28"/>
          <w:lang w:val="en-us"/>
        </w:rPr>
      </w:r>
    </w:p>
    <w:p>
      <w:pPr>
        <w:spacing w:line="360" w:lineRule="auto"/>
        <w:jc w:val="center"/>
        <w:rPr>
          <w:sz w:val="28"/>
          <w:szCs w:val="28"/>
          <w:lang w:val="en-us"/>
        </w:rPr>
      </w:pPr>
      <w:r>
        <w:rPr>
          <w:sz w:val="28"/>
          <w:szCs w:val="28"/>
          <w:lang w:val="en-us"/>
        </w:rPr>
        <w:t xml:space="preserve">Таблиця 3.1: Порівняння класичних та сучасних методів </w:t>
      </w:r>
      <w:r>
        <w:rPr>
          <w:sz w:val="28"/>
          <w:szCs w:val="28"/>
        </w:rPr>
        <w:t>маркшейдерського</w:t>
      </w:r>
      <w:r>
        <w:rPr>
          <w:sz w:val="28"/>
          <w:szCs w:val="28"/>
          <w:lang w:val="en-us"/>
        </w:rPr>
        <w:t xml:space="preserve"> </w:t>
      </w:r>
      <w:r>
        <w:rPr>
          <w:sz w:val="28"/>
          <w:szCs w:val="28"/>
        </w:rPr>
        <w:t>забезпечення</w:t>
      </w:r>
      <w:r>
        <w:rPr>
          <w:sz w:val="28"/>
          <w:szCs w:val="28"/>
          <w:lang w:val="en-us"/>
        </w:rPr>
      </w:r>
    </w:p>
    <w:tbl>
      <w:tblPr>
        <w:name w:val="Таблица1"/>
        <w:tabOrder w:val="0"/>
        <w:jc w:val="left"/>
        <w:tblInd w:w="0" w:type="dxa"/>
        <w:tblW w:w="9638" w:type="dxa"/>
      </w:tblPr>
      <w:tblGrid>
        <w:gridCol w:w="3212"/>
        <w:gridCol w:w="3213"/>
        <w:gridCol w:w="3213"/>
      </w:tblGrid>
      <w:tr>
        <w:trPr>
          <w:tblHeader w:val="0"/>
          <w:cantSplit w:val="0"/>
          <w:trHeight w:val="0" w:hRule="auto"/>
        </w:trPr>
        <w:tc>
          <w:tcPr>
            <w:tcW w:w="3212"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10"/>
            </w:pPr>
            <w:r>
              <w:rPr>
                <w:rStyle w:val="char5"/>
                <w:sz w:val="28"/>
                <w:szCs w:val="28"/>
              </w:rPr>
              <w:t>Критерій</w:t>
            </w:r>
            <w:r/>
          </w:p>
        </w:tc>
        <w:tc>
          <w:tcPr>
            <w:tcW w:w="3213"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10"/>
            </w:pPr>
            <w:r>
              <w:rPr>
                <w:rStyle w:val="char5"/>
                <w:sz w:val="28"/>
                <w:szCs w:val="28"/>
              </w:rPr>
              <w:t>Класичні методи</w:t>
            </w:r>
            <w:r/>
          </w:p>
        </w:tc>
        <w:tc>
          <w:tcPr>
            <w:tcW w:w="3213"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10"/>
            </w:pPr>
            <w:r>
              <w:rPr>
                <w:rStyle w:val="char5"/>
                <w:sz w:val="28"/>
                <w:szCs w:val="28"/>
              </w:rPr>
              <w:t>Сучасні методи</w:t>
            </w:r>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Тип вимірювань</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Ручні спостереження теодолітами, нівелірами, мірними стрічками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Автоматизовані GNSS, LiDAR, безпілотники, роботизовані тахеометри</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Збір даних</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Послідовний, точковий, обмежений обсяг інформації</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Безперервний, масовий (мільйони точок), просторово-щільний</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Обробка результатів</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Ручні розрахунки, метод найменших квадратів, таблиці</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Автоматизована обробка у ГІС, BIM, хмарних платформах</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sz w:val="28"/>
                <w:szCs w:val="28"/>
              </w:rPr>
              <w:t>Критерій</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sz w:val="28"/>
                <w:szCs w:val="28"/>
              </w:rPr>
              <w:t>Класичні методи</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pPr>
            <w:r>
              <w:rPr>
                <w:rStyle w:val="char5"/>
                <w:sz w:val="28"/>
                <w:szCs w:val="28"/>
              </w:rPr>
              <w:t>Сучасні методи</w:t>
            </w:r>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Час виконання робіт</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Від кількох днів до тижнів</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У реальному часі або кілька годин</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Точність</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Висока (до 1:5000), але залежна від кваліфікації</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Дуже висока (до 2–3 мм), стабільна та незалежна від оператора</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Контроль похибок</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Подвійні спостереження, статистичні перевірки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Автоматичний контроль у режимі реального часу</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Візуалізація даних</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Плоскі плани, профілі, креслення</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3D-моделі, цифрові двійники, віртуальна та доповнена реальність</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Зберігання інформації</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Паперові журнали, архіви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Цифрові бази даних, хмарні сховища</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Участь людини</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Значна, всі етапи виконуються вручну</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Мінімальна, оператор виконує контроль і аналітику</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Інтеграція з іншими системами</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Обмежена, локальні мережі</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Повна інтеграція з виробничими, екологічними, вентиляційними системами</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Безпека робіт</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Людина безпосередньо у небезпечних зонах</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Дистанційне або автоматизоване виконання робіт</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Вартість робіт</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Нижча початкова, але більші трудові витрати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Вища інвестиційна, але менші експлуатаційні витрати</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Аналітичні можливості</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Обмежені аналітичні висновки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Інтелектуальна аналітика, прогнозування, управління ризиками</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Нормативна база</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Традиційні стандарти ДСТУ, інструкції</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Міжнародні стандарти ISO, OGC, IFC, цифрові протоколи обміну</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b w:val="0"/>
                <w:bCs w:val="0"/>
                <w:sz w:val="28"/>
                <w:szCs w:val="28"/>
              </w:rPr>
              <w:t>Приклади використання</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Побудова підземних полігонів, нівелювання, теодолітні ходи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Лазерне сканування кар’єрів, моніторинг деформацій, цифрові двійники шахт</w:t>
            </w:r>
          </w:p>
        </w:tc>
      </w:tr>
    </w:tbl>
    <w:p>
      <w:pPr>
        <w:spacing w:line="360" w:lineRule="auto"/>
        <w:jc w:val="both"/>
        <w:rPr>
          <w:sz w:val="28"/>
          <w:szCs w:val="28"/>
        </w:rPr>
      </w:pPr>
      <w:r>
        <w:rPr>
          <w:sz w:val="28"/>
          <w:szCs w:val="28"/>
        </w:rPr>
        <w:tab/>
        <w:t>Порівняльний аналіз показує, що сучасні методи не лише підвищують продуктивність та точність маркшейдерських робіт, але й перетворюють маркшейдерію на інформаційно-аналітичну дисципліну, що безпосередньо впливає на управління гірничими процесами [36, 41, 45]. Однак класичні методи залишаються основою навчання та практичної підготовки, оскільки формують розуміння принципів точності, контролю та перевіреності вимірювань [20, 39, 48].</w:t>
      </w:r>
    </w:p>
    <w:p>
      <w:pPr>
        <w:spacing w:line="360" w:lineRule="auto"/>
        <w:jc w:val="both"/>
        <w:rPr>
          <w:sz w:val="28"/>
          <w:szCs w:val="28"/>
          <w:lang w:val="en-us"/>
        </w:rPr>
      </w:pPr>
      <w:r>
        <w:rPr>
          <w:sz w:val="28"/>
          <w:szCs w:val="28"/>
        </w:rPr>
        <w:tab/>
        <w:t>Отже, сучасна маркшейдерія поєднує переваги обох підходів - традиційної геометричної точності та цифрової аналітичної ефективності. У майбутньому очікується їх повна інтеграція в єдину систему, де автоматизовані процеси виконуватимуть рутинні операції, а маркшейдер зосередиться на аналітиці, моделюванні та стратегічному управлінні [44, 50]. У (Д</w:t>
      </w:r>
      <w:r>
        <w:rPr>
          <w:sz w:val="28"/>
          <w:szCs w:val="28"/>
        </w:rPr>
        <w:t>одатках 1-4</w:t>
      </w:r>
      <w:r>
        <w:rPr>
          <w:sz w:val="28"/>
          <w:szCs w:val="28"/>
        </w:rPr>
        <w:t>)</w:t>
      </w:r>
      <w:r>
        <w:rPr>
          <w:sz w:val="28"/>
          <w:szCs w:val="28"/>
        </w:rPr>
        <w:t xml:space="preserve"> показано розширене порівняння </w:t>
      </w:r>
      <w:r>
        <w:rPr>
          <w:sz w:val="28"/>
          <w:szCs w:val="28"/>
        </w:rPr>
        <w:t>кожного етапу.</w:t>
      </w:r>
      <w:r>
        <w:rPr>
          <w:sz w:val="28"/>
          <w:szCs w:val="28"/>
          <w:lang w:val="en-us"/>
        </w:rPr>
      </w:r>
    </w:p>
    <w:p>
      <w:pPr>
        <w:spacing w:line="360" w:lineRule="auto"/>
        <w:jc w:val="center"/>
        <w:rPr>
          <w:b/>
          <w:bCs/>
          <w:sz w:val="28"/>
          <w:szCs w:val="28"/>
        </w:rPr>
      </w:pPr>
      <w:r>
        <w:br w:type="page"/>
      </w:r>
      <w:r>
        <w:rPr>
          <w:b/>
          <w:bCs/>
          <w:sz w:val="28"/>
          <w:szCs w:val="28"/>
        </w:rPr>
        <w:t>Висновок</w:t>
      </w:r>
    </w:p>
    <w:p>
      <w:pPr>
        <w:spacing w:line="360" w:lineRule="auto"/>
        <w:jc w:val="both"/>
        <w:rPr>
          <w:sz w:val="28"/>
          <w:szCs w:val="28"/>
        </w:rPr>
      </w:pPr>
      <w:r>
        <w:rPr>
          <w:sz w:val="28"/>
          <w:szCs w:val="28"/>
        </w:rPr>
        <w:tab/>
        <w:t>Ця магістерська робота присвячена вивченню та узагальненню сучасних методів геодезичного обстеження та оснащення шахтних споруд та обладнання, а також їх порівнянню з класичними технологіями, що використовувалися в попередні десятиліття. У дослідженні проаналізовано еволюцію геодезичних процесів, визначено ключові тенденції цифровізації та автоматизації, а також розглянуто практичні аспекти впровадження інновацій у гірничодобувній промисловості України.</w:t>
      </w:r>
    </w:p>
    <w:p>
      <w:pPr>
        <w:spacing w:line="360" w:lineRule="auto"/>
        <w:jc w:val="both"/>
        <w:rPr>
          <w:sz w:val="28"/>
          <w:szCs w:val="28"/>
        </w:rPr>
      </w:pPr>
      <w:r>
        <w:rPr>
          <w:sz w:val="28"/>
          <w:szCs w:val="28"/>
        </w:rPr>
        <w:tab/>
        <w:t>Встановлено, що традиційні методи геодезичного обстеження, такі як полігонометрія, тріангуляція та нівелювання, залишаються основою просторової точності та геометричної стійкості гірничих мереж. Однак сучасні цифрові технології, включаючи ГНСС, лазерне сканування, безпілотну аерофотозйомку, ГІС, BIM, сенсорні системи моніторингу та штучний інтелект, значно підвищують ефективність, швидкість та точність геодезичних робіт. Їх поєднання створює нову парадигму управління геодезичними процесами - від фіксації до прогнозування стану виробничого середовища.</w:t>
      </w:r>
    </w:p>
    <w:p>
      <w:pPr>
        <w:spacing w:line="360" w:lineRule="auto"/>
        <w:jc w:val="both"/>
        <w:rPr>
          <w:sz w:val="28"/>
          <w:szCs w:val="28"/>
        </w:rPr>
      </w:pPr>
      <w:r>
        <w:rPr>
          <w:sz w:val="28"/>
          <w:szCs w:val="28"/>
        </w:rPr>
        <w:tab/>
        <w:t>Проведений аналіз показав, що перехід на цифрову модель геодезії дозволяє мінімізувати вплив людської помилки, підвищити рівень безпеки, скоротити час вимірювань, забезпечити своєчасне оновлення даних та інтегрувати результати в єдині інформаційні системи підприємства. Такі підходи вже впроваджуються на низці підприємств Криворізького залізорудного басейну, що підтверджує їх практичну ефективність та потенціал для гірничодобувної промисловості України.</w:t>
      </w:r>
    </w:p>
    <w:p>
      <w:pPr>
        <w:spacing w:line="360" w:lineRule="auto"/>
        <w:jc w:val="both"/>
        <w:rPr>
          <w:sz w:val="28"/>
          <w:szCs w:val="28"/>
        </w:rPr>
      </w:pPr>
      <w:r>
        <w:rPr>
          <w:sz w:val="28"/>
          <w:szCs w:val="28"/>
        </w:rPr>
        <w:tab/>
        <w:t>Дослідження обґрунтувало доцільність поєднання класичних та сучасних методів в єдиній інтегрованій системі геодезії, де традиційні геометричні принципи гарантують точність, а цифрові технології складають основу аналітики, моделювання та прогнозування.</w:t>
      </w:r>
    </w:p>
    <w:p>
      <w:pPr>
        <w:spacing w:line="360" w:lineRule="auto"/>
        <w:jc w:val="both"/>
        <w:rPr>
          <w:sz w:val="28"/>
          <w:szCs w:val="28"/>
          <w:lang w:val="en-us"/>
        </w:rPr>
      </w:pPr>
      <w:r>
        <w:rPr>
          <w:sz w:val="28"/>
          <w:szCs w:val="28"/>
        </w:rPr>
        <w:tab/>
        <w:t>Отримані результати мають теоретичну та практичну цінність, оскільки можуть бути використані для подальшого вдосконалення систем моніторингу стану шахтних споруд, оптимізації геодезичних процесів та розробки регіональних цифрових платформ моніторингу стану шахтних споруд.</w:t>
      </w:r>
      <w:r>
        <w:rPr>
          <w:sz w:val="28"/>
          <w:szCs w:val="28"/>
          <w:lang w:val="en-us"/>
        </w:rPr>
      </w:r>
    </w:p>
    <w:p>
      <w:pPr>
        <w:spacing w:line="360" w:lineRule="auto"/>
        <w:jc w:val="both"/>
        <w:rPr>
          <w:sz w:val="28"/>
          <w:szCs w:val="28"/>
        </w:rPr>
      </w:pPr>
      <w:r>
        <w:rPr>
          <w:sz w:val="28"/>
          <w:szCs w:val="28"/>
        </w:rPr>
        <w:tab/>
        <w:t>Загалом, магістерська робота підтвердила, що сучасна геодезія є невід'ємною частиною інноваційного розвитку гірничодобувної промисловості України. Вона поєднує класичну точність з цифровою аналітикою, формуючи нову якість управління простором, безпекою та ефективністю виробництва.</w:t>
      </w:r>
    </w:p>
    <w:p>
      <w:pPr>
        <w:spacing w:line="360" w:lineRule="auto"/>
        <w:jc w:val="center"/>
        <w:rPr>
          <w:b/>
          <w:bCs/>
          <w:sz w:val="28"/>
          <w:szCs w:val="28"/>
        </w:rPr>
      </w:pPr>
      <w:r>
        <w:br w:type="page"/>
      </w:r>
      <w:r>
        <w:rPr>
          <w:b/>
          <w:bCs/>
          <w:sz w:val="28"/>
          <w:szCs w:val="28"/>
        </w:rPr>
        <w:t>Список використаних джерел</w:t>
      </w:r>
    </w:p>
    <w:p>
      <w:pPr>
        <w:numPr>
          <w:ilvl w:val="0"/>
          <w:numId w:val="2"/>
        </w:numPr>
        <w:ind w:left="720" w:hanging="360"/>
        <w:spacing w:line="360" w:lineRule="auto"/>
        <w:jc w:val="both"/>
      </w:pPr>
      <w:r>
        <w:rPr>
          <w:sz w:val="28"/>
          <w:szCs w:val="28"/>
        </w:rPr>
        <w:t>Chaobin Zhu,</w:t>
      </w:r>
      <w:r>
        <w:rPr>
          <w:rFonts w:ascii="ElsevierSans;Arial;Helvetica;Roboto;Lucida Sans Unicode;Microso" w:hAnsi="ElsevierSans;Arial;Helvetica;Roboto;Lucida Sans Unicode;Microso"/>
          <w:color w:val="1f1f1f"/>
          <w:szCs w:val="28"/>
        </w:rPr>
        <w:t> </w:t>
      </w:r>
      <w:r>
        <w:rPr>
          <w:sz w:val="28"/>
          <w:szCs w:val="28"/>
        </w:rPr>
        <w:t>Yuejin Zhou,</w:t>
      </w:r>
      <w:r>
        <w:rPr>
          <w:rFonts w:ascii="ElsevierSans;Arial;Helvetica;Roboto;Lucida Sans Unicode;Microso" w:hAnsi="ElsevierSans;Arial;Helvetica;Roboto;Lucida Sans Unicode;Microso"/>
          <w:color w:val="1f1f1f"/>
          <w:szCs w:val="28"/>
        </w:rPr>
        <w:t> </w:t>
      </w:r>
      <w:r>
        <w:rPr>
          <w:sz w:val="28"/>
          <w:szCs w:val="28"/>
        </w:rPr>
        <w:t>Zhengfu Bian,</w:t>
      </w:r>
      <w:r>
        <w:rPr>
          <w:rFonts w:ascii="ElsevierSans;Arial;Helvetica;Roboto;Lucida Sans Unicode;Microso" w:hAnsi="ElsevierSans;Arial;Helvetica;Roboto;Lucida Sans Unicode;Microso"/>
          <w:color w:val="1f1f1f"/>
          <w:szCs w:val="28"/>
        </w:rPr>
        <w:t> </w:t>
      </w:r>
      <w:r>
        <w:rPr>
          <w:sz w:val="28"/>
          <w:szCs w:val="28"/>
        </w:rPr>
        <w:t>Yunong Xu,</w:t>
      </w:r>
      <w:r>
        <w:rPr>
          <w:rFonts w:ascii="ElsevierSans;Arial;Helvetica;Roboto;Lucida Sans Unicode;Microso" w:hAnsi="ElsevierSans;Arial;Helvetica;Roboto;Lucida Sans Unicode;Microso"/>
          <w:color w:val="1f1f1f"/>
          <w:szCs w:val="28"/>
        </w:rPr>
        <w:t> </w:t>
      </w:r>
      <w:r>
        <w:rPr>
          <w:sz w:val="28"/>
          <w:szCs w:val="28"/>
        </w:rPr>
        <w:t>Jichu Chen,</w:t>
      </w:r>
      <w:r>
        <w:rPr>
          <w:rFonts w:ascii="ElsevierSans;Arial;Helvetica;Roboto;Lucida Sans Unicode;Microso" w:hAnsi="ElsevierSans;Arial;Helvetica;Roboto;Lucida Sans Unicode;Microso"/>
          <w:color w:val="1f1f1f"/>
          <w:szCs w:val="28"/>
        </w:rPr>
        <w:t> </w:t>
      </w:r>
      <w:r>
        <w:rPr>
          <w:sz w:val="28"/>
          <w:szCs w:val="28"/>
        </w:rPr>
        <w:t>Zhe Chen</w:t>
      </w:r>
      <w:r/>
      <w:bookmarkStart w:id="0" w:name="screen-reader-main-title"/>
      <w:r/>
      <w:bookmarkEnd w:id="0"/>
      <w:r/>
      <w:r>
        <w:rPr>
          <w:sz w:val="28"/>
          <w:szCs w:val="28"/>
        </w:rPr>
        <w:t xml:space="preserve">. Study on the division and calculation of reservoir capacity in tunnel underground reservoirs for pumped storage power stations in abandoned mines (PSPSAM). </w:t>
      </w:r>
      <w:r>
        <w:rPr>
          <w:sz w:val="28"/>
          <w:szCs w:val="28"/>
          <w:lang w:val="en-us"/>
        </w:rPr>
        <w:t xml:space="preserve">DOI: https://doi.org/10.1016/j.ijepes.2025.110983 </w:t>
      </w:r>
      <w:r/>
    </w:p>
    <w:p>
      <w:pPr>
        <w:numPr>
          <w:ilvl w:val="0"/>
          <w:numId w:val="2"/>
        </w:numPr>
        <w:ind w:left="720" w:hanging="360"/>
        <w:spacing w:line="360" w:lineRule="auto"/>
        <w:jc w:val="both"/>
        <w:rPr>
          <w:sz w:val="28"/>
          <w:szCs w:val="28"/>
        </w:rPr>
      </w:pPr>
      <w:r>
        <w:rPr>
          <w:sz w:val="28"/>
          <w:szCs w:val="28"/>
        </w:rPr>
        <w:t xml:space="preserve">Антипенко Г.О., Гаврюк Г.Ф., Назаренко В.О., Ковалевич Л.А., Котенко В.В. </w:t>
      </w:r>
      <w:r>
        <w:rPr>
          <w:rStyle w:val="char3"/>
          <w:i w:val="0"/>
          <w:iCs w:val="0"/>
          <w:sz w:val="28"/>
          <w:szCs w:val="28"/>
        </w:rPr>
        <w:t>Маркшейдерські роботи при будівництві шахт та підземних споруд: навч. посібник</w:t>
      </w:r>
      <w:r>
        <w:rPr>
          <w:sz w:val="28"/>
          <w:szCs w:val="28"/>
        </w:rPr>
        <w:t xml:space="preserve">. Житомир: Державний університет «Житомирська політехніка», 2021. ISBN 978-966-683-571-3. </w:t>
      </w:r>
      <w:r>
        <w:rPr>
          <w:sz w:val="28"/>
          <w:szCs w:val="28"/>
        </w:rPr>
      </w:r>
    </w:p>
    <w:p>
      <w:pPr>
        <w:numPr>
          <w:ilvl w:val="0"/>
          <w:numId w:val="2"/>
        </w:numPr>
        <w:ind w:left="720" w:hanging="360"/>
        <w:spacing w:line="360" w:lineRule="auto"/>
        <w:jc w:val="both"/>
        <w:rPr>
          <w:sz w:val="28"/>
          <w:szCs w:val="28"/>
        </w:rPr>
      </w:pPr>
      <w:r>
        <w:rPr>
          <w:sz w:val="28"/>
          <w:szCs w:val="28"/>
        </w:rPr>
        <w:t xml:space="preserve">Антипенко Г.О., Гаврюк Г.Ф., Котенко В.В. (ред.). </w:t>
      </w:r>
      <w:r>
        <w:rPr>
          <w:rStyle w:val="char3"/>
          <w:i w:val="0"/>
          <w:iCs w:val="0"/>
          <w:sz w:val="28"/>
          <w:szCs w:val="28"/>
        </w:rPr>
        <w:t>Маркшейдерська справа: підручник</w:t>
      </w:r>
      <w:r>
        <w:rPr>
          <w:sz w:val="28"/>
          <w:szCs w:val="28"/>
        </w:rPr>
        <w:t xml:space="preserve">. Дніпро: Нац. гірн. ун-т, 2011. 152 с. </w:t>
      </w:r>
      <w:r>
        <w:rPr>
          <w:sz w:val="28"/>
          <w:szCs w:val="28"/>
        </w:rPr>
      </w:r>
    </w:p>
    <w:p>
      <w:pPr>
        <w:numPr>
          <w:ilvl w:val="0"/>
          <w:numId w:val="2"/>
        </w:numPr>
        <w:ind w:left="720" w:hanging="360"/>
        <w:spacing w:line="360" w:lineRule="auto"/>
        <w:jc w:val="both"/>
        <w:rPr>
          <w:sz w:val="28"/>
          <w:szCs w:val="28"/>
        </w:rPr>
      </w:pPr>
      <w:r>
        <w:rPr>
          <w:sz w:val="28"/>
          <w:szCs w:val="28"/>
        </w:rPr>
        <w:t xml:space="preserve">Бизов В.Ф., Федоренко П.Й. </w:t>
      </w:r>
      <w:r>
        <w:rPr>
          <w:rStyle w:val="char3"/>
          <w:i w:val="0"/>
          <w:iCs w:val="0"/>
          <w:sz w:val="28"/>
          <w:szCs w:val="28"/>
        </w:rPr>
        <w:t>Маркшейдерська справа: підручник для студ. вищих навч. закл. за напрямком "Гірництво"</w:t>
      </w:r>
      <w:r>
        <w:rPr>
          <w:sz w:val="28"/>
          <w:szCs w:val="28"/>
        </w:rPr>
        <w:t xml:space="preserve">. Кривий Ріг: «Мінерал», 2001. 210 с. </w:t>
      </w:r>
      <w:r>
        <w:rPr>
          <w:sz w:val="28"/>
          <w:szCs w:val="28"/>
        </w:rPr>
      </w:r>
    </w:p>
    <w:p>
      <w:pPr>
        <w:numPr>
          <w:ilvl w:val="0"/>
          <w:numId w:val="2"/>
        </w:numPr>
        <w:ind w:left="720" w:hanging="360"/>
        <w:spacing w:line="360" w:lineRule="auto"/>
        <w:jc w:val="both"/>
        <w:rPr>
          <w:sz w:val="28"/>
          <w:szCs w:val="28"/>
        </w:rPr>
      </w:pPr>
      <w:r>
        <w:rPr>
          <w:sz w:val="28"/>
          <w:szCs w:val="28"/>
        </w:rPr>
        <w:t xml:space="preserve">Сидоренко В.Д., Федоренко П.Й., Шолох М.В. та інші. </w:t>
      </w:r>
      <w:r>
        <w:rPr>
          <w:rStyle w:val="char3"/>
          <w:i w:val="0"/>
          <w:iCs w:val="0"/>
          <w:sz w:val="28"/>
          <w:szCs w:val="28"/>
        </w:rPr>
        <w:t>Геодезія і маркшейдерія. Том 1: Навчальний посібник для студентів вищих навч. закладів за напрямком "Гірництво"</w:t>
      </w:r>
      <w:r>
        <w:rPr>
          <w:sz w:val="28"/>
          <w:szCs w:val="28"/>
        </w:rPr>
        <w:t xml:space="preserve">. Кривий Ріг: Видавничий центр КТУ, 2008. 580 с. </w:t>
      </w:r>
      <w:r>
        <w:rPr>
          <w:sz w:val="28"/>
          <w:szCs w:val="28"/>
        </w:rPr>
      </w:r>
    </w:p>
    <w:p>
      <w:pPr>
        <w:numPr>
          <w:ilvl w:val="0"/>
          <w:numId w:val="2"/>
        </w:numPr>
        <w:ind w:left="720" w:hanging="360"/>
        <w:spacing w:line="360" w:lineRule="auto"/>
        <w:jc w:val="both"/>
        <w:rPr>
          <w:sz w:val="28"/>
          <w:szCs w:val="28"/>
        </w:rPr>
      </w:pPr>
      <w:r>
        <w:rPr>
          <w:sz w:val="28"/>
          <w:szCs w:val="28"/>
        </w:rPr>
        <w:t xml:space="preserve">Лановик Б.Д. (упор.). </w:t>
      </w:r>
      <w:r>
        <w:rPr>
          <w:rStyle w:val="char3"/>
          <w:i w:val="0"/>
          <w:iCs w:val="0"/>
          <w:sz w:val="28"/>
          <w:szCs w:val="28"/>
        </w:rPr>
        <w:t>Забезпечення підручниками, навчальними посібниками… Маркшейдерська справа: навч. посібник</w:t>
      </w:r>
      <w:r>
        <w:rPr>
          <w:sz w:val="28"/>
          <w:szCs w:val="28"/>
        </w:rPr>
        <w:t xml:space="preserve">. Київ: [без вказівки видавництва], 2022. </w:t>
      </w:r>
      <w:r>
        <w:rPr>
          <w:sz w:val="28"/>
          <w:szCs w:val="28"/>
        </w:rPr>
      </w:r>
    </w:p>
    <w:p>
      <w:pPr>
        <w:pStyle w:val="para4"/>
        <w:numPr>
          <w:ilvl w:val="0"/>
          <w:numId w:val="2"/>
        </w:numPr>
        <w:ind w:left="720" w:hanging="360"/>
        <w:spacing w:after="0" w:line="360" w:lineRule="auto"/>
        <w:jc w:val="both"/>
      </w:pPr>
      <w:r>
        <w:rPr>
          <w:sz w:val="28"/>
          <w:szCs w:val="28"/>
        </w:rPr>
        <w:t xml:space="preserve">Одарченко М. С., Одарченко А. М., Степанов В. І., Черненко Я. М. </w:t>
      </w:r>
      <w:r>
        <w:rPr>
          <w:rStyle w:val="char3"/>
          <w:i w:val="0"/>
          <w:iCs w:val="0"/>
          <w:sz w:val="28"/>
          <w:szCs w:val="28"/>
        </w:rPr>
        <w:t>Основи охорони праці : підручник</w:t>
      </w:r>
      <w:r>
        <w:rPr>
          <w:sz w:val="28"/>
          <w:szCs w:val="28"/>
        </w:rPr>
        <w:t>. Харків : Стиль-Издат, 2017. 334 с. Репозитарій БТУ</w:t>
      </w:r>
      <w:r/>
    </w:p>
    <w:p>
      <w:pPr>
        <w:pStyle w:val="para4"/>
        <w:numPr>
          <w:ilvl w:val="0"/>
          <w:numId w:val="2"/>
        </w:numPr>
        <w:ind w:left="720" w:hanging="360"/>
        <w:spacing w:after="0" w:line="360" w:lineRule="auto"/>
        <w:jc w:val="both"/>
      </w:pPr>
      <w:r>
        <w:rPr>
          <w:sz w:val="28"/>
          <w:szCs w:val="28"/>
        </w:rPr>
        <w:t xml:space="preserve">Ткачук К. Н., Зацарний В. В., Зеркалов Д. В., Полукаров О. І. [та ін.]. </w:t>
      </w:r>
      <w:r>
        <w:rPr>
          <w:rStyle w:val="char3"/>
          <w:i w:val="0"/>
          <w:iCs w:val="0"/>
          <w:sz w:val="28"/>
          <w:szCs w:val="28"/>
        </w:rPr>
        <w:t>Основи охорони праці [Електронне видання] : підручник</w:t>
      </w:r>
      <w:r>
        <w:rPr>
          <w:sz w:val="28"/>
          <w:szCs w:val="28"/>
        </w:rPr>
        <w:t>. Київ : Основа, 2015. 456 с. Ела</w:t>
      </w:r>
      <w:r/>
    </w:p>
    <w:p>
      <w:pPr>
        <w:pStyle w:val="para4"/>
        <w:numPr>
          <w:ilvl w:val="0"/>
          <w:numId w:val="2"/>
        </w:numPr>
        <w:ind w:left="720" w:hanging="360"/>
        <w:spacing w:after="0" w:line="360" w:lineRule="auto"/>
        <w:jc w:val="both"/>
      </w:pPr>
      <w:r>
        <w:rPr>
          <w:sz w:val="28"/>
          <w:szCs w:val="28"/>
        </w:rPr>
        <w:t xml:space="preserve">Пожарова О. В. </w:t>
      </w:r>
      <w:r>
        <w:rPr>
          <w:rStyle w:val="char3"/>
          <w:i w:val="0"/>
          <w:iCs w:val="0"/>
          <w:sz w:val="28"/>
          <w:szCs w:val="28"/>
        </w:rPr>
        <w:t>Охорона праці : навчальний посібник</w:t>
      </w:r>
      <w:r>
        <w:rPr>
          <w:sz w:val="28"/>
          <w:szCs w:val="28"/>
        </w:rPr>
        <w:t>. Одеса, 2022. 86 с. DSpace Repository</w:t>
      </w:r>
      <w:r/>
    </w:p>
    <w:p>
      <w:pPr>
        <w:pStyle w:val="para4"/>
        <w:numPr>
          <w:ilvl w:val="0"/>
          <w:numId w:val="2"/>
        </w:numPr>
        <w:ind w:left="720" w:hanging="360"/>
        <w:spacing w:after="0" w:line="360" w:lineRule="auto"/>
        <w:jc w:val="both"/>
      </w:pPr>
      <w:r>
        <w:rPr>
          <w:sz w:val="28"/>
          <w:szCs w:val="28"/>
        </w:rPr>
        <w:t xml:space="preserve">Войналович О. В., Марчишина Є. І., Білько Т. О. </w:t>
      </w:r>
      <w:r>
        <w:rPr>
          <w:rStyle w:val="char3"/>
          <w:i w:val="0"/>
          <w:iCs w:val="0"/>
          <w:sz w:val="28"/>
          <w:szCs w:val="28"/>
        </w:rPr>
        <w:t>Охорона праці у сільському господарстві : навч. підручник</w:t>
      </w:r>
      <w:r>
        <w:rPr>
          <w:sz w:val="28"/>
          <w:szCs w:val="28"/>
        </w:rPr>
        <w:t>. Київ : ЦУЛ, 2021. ISBN 978-611-01-1101-0. opac.kntu.kr.ua</w:t>
      </w:r>
      <w:r/>
    </w:p>
    <w:p>
      <w:pPr>
        <w:pStyle w:val="para4"/>
        <w:numPr>
          <w:ilvl w:val="0"/>
          <w:numId w:val="2"/>
        </w:numPr>
        <w:ind w:left="720" w:hanging="360"/>
        <w:spacing w:after="0" w:line="360" w:lineRule="auto"/>
        <w:jc w:val="both"/>
      </w:pPr>
      <w:r>
        <w:rPr>
          <w:sz w:val="28"/>
          <w:szCs w:val="28"/>
        </w:rPr>
        <w:t xml:space="preserve">Курепін В. М., Марченко Д. Д., Курепін Д. В. </w:t>
      </w:r>
      <w:r>
        <w:rPr>
          <w:rStyle w:val="char3"/>
          <w:i w:val="0"/>
          <w:iCs w:val="0"/>
          <w:sz w:val="28"/>
          <w:szCs w:val="28"/>
        </w:rPr>
        <w:t xml:space="preserve">Охорона праці в галузі : навчальний посібник </w:t>
      </w:r>
      <w:r>
        <w:rPr>
          <w:sz w:val="28"/>
          <w:szCs w:val="28"/>
        </w:rPr>
        <w:t>Миколаїв : МНАУ, 2023. 586 с. ISBN 978-617-7149-68-1.</w:t>
      </w:r>
      <w:r/>
    </w:p>
    <w:p>
      <w:pPr>
        <w:pStyle w:val="para4"/>
        <w:numPr>
          <w:ilvl w:val="0"/>
          <w:numId w:val="2"/>
        </w:numPr>
        <w:ind w:left="720" w:hanging="360"/>
        <w:spacing w:after="0" w:line="360" w:lineRule="auto"/>
        <w:jc w:val="both"/>
        <w:rPr>
          <w:sz w:val="28"/>
          <w:szCs w:val="28"/>
        </w:rPr>
      </w:pPr>
      <w:r>
        <w:rPr>
          <w:sz w:val="28"/>
          <w:szCs w:val="28"/>
        </w:rPr>
        <w:t xml:space="preserve">Menéndez J, Schmidt F, Konietzky H, Fernández-Oro JM, Galdo M, Loredo J, et al. Stability analysis of the underground infrastructure for pumped storage hydropower plants in closed coal mines. Tunn Undergr Space Technol 2019;94:103117. https://doi.org/10.1016/j.tust.2019.103117. </w:t>
      </w:r>
    </w:p>
    <w:p>
      <w:pPr>
        <w:pStyle w:val="para4"/>
        <w:numPr>
          <w:ilvl w:val="0"/>
          <w:numId w:val="2"/>
        </w:numPr>
        <w:ind w:left="720" w:hanging="360"/>
        <w:spacing w:after="0" w:line="360" w:lineRule="auto"/>
        <w:jc w:val="both"/>
        <w:rPr>
          <w:sz w:val="28"/>
          <w:szCs w:val="28"/>
        </w:rPr>
      </w:pPr>
      <w:r>
        <w:rPr>
          <w:sz w:val="28"/>
          <w:szCs w:val="28"/>
        </w:rPr>
        <w:t xml:space="preserve">Bodeux S, Pujades E, Orban P, Brouyère S, Dassargues A. Interactions between groundwater and the cavity of an old slate mine used as lower reservoir of an UPSH (Underground Pumped Storage Hydroelectricity): a modelling approach. Eng Geol 2017;217:71–80. https://doi.org/10.1016/j.enggeo.2016.12.007. </w:t>
      </w:r>
    </w:p>
    <w:p>
      <w:pPr>
        <w:numPr>
          <w:ilvl w:val="0"/>
          <w:numId w:val="2"/>
        </w:numPr>
        <w:ind w:left="720" w:hanging="360"/>
        <w:spacing w:line="360" w:lineRule="auto"/>
        <w:jc w:val="both"/>
        <w:rPr>
          <w:sz w:val="28"/>
          <w:szCs w:val="28"/>
        </w:rPr>
      </w:pPr>
      <w:r>
        <w:rPr>
          <w:sz w:val="28"/>
          <w:szCs w:val="28"/>
        </w:rPr>
        <w:t xml:space="preserve">Li P, Lu W, Long Y, Yang Z, Li J. Seepage analysis in a fractured rock mass: the upper reservoir of Pushihe pumped-storage power station in China. Eng Geol 2008;97:53–62. https://doi.org/10.1016/j.enggeo.2007.12.005. </w:t>
      </w:r>
    </w:p>
    <w:p>
      <w:pPr>
        <w:pStyle w:val="para4"/>
        <w:numPr>
          <w:ilvl w:val="0"/>
          <w:numId w:val="2"/>
        </w:numPr>
        <w:ind w:left="720" w:hanging="360"/>
        <w:spacing w:after="0" w:line="360" w:lineRule="auto"/>
        <w:jc w:val="both"/>
        <w:rPr>
          <w:sz w:val="28"/>
          <w:szCs w:val="28"/>
        </w:rPr>
      </w:pPr>
      <w:r>
        <w:rPr>
          <w:sz w:val="28"/>
          <w:szCs w:val="28"/>
        </w:rPr>
        <w:t xml:space="preserve">Ayhan M, Topal E. Excavation and support design of the Dicle–Kralkizi water tunnel: an overview. Tunn Undergr Space Technol 2005;20:81–87. https://doi.org/10.1016/j.tust.2004.06.001. </w:t>
      </w:r>
    </w:p>
    <w:p>
      <w:pPr>
        <w:numPr>
          <w:ilvl w:val="0"/>
          <w:numId w:val="2"/>
        </w:numPr>
        <w:ind w:left="720" w:hanging="360"/>
        <w:spacing w:line="360" w:lineRule="auto"/>
        <w:jc w:val="both"/>
        <w:rPr>
          <w:sz w:val="28"/>
          <w:szCs w:val="28"/>
        </w:rPr>
      </w:pPr>
      <w:r>
        <w:rPr>
          <w:sz w:val="28"/>
          <w:szCs w:val="28"/>
        </w:rPr>
        <w:t xml:space="preserve">Zhang Q, Zheng Y. Geotechnical investigations and support design for an underground powerhouse of pumped-storage power station: a case study in Chongqing, China. Sustainability 2022;14:8481. https://doi.org/10.3390/su14148481. </w:t>
      </w:r>
    </w:p>
    <w:p>
      <w:pPr>
        <w:pStyle w:val="para4"/>
        <w:numPr>
          <w:ilvl w:val="0"/>
          <w:numId w:val="2"/>
        </w:numPr>
        <w:ind w:left="720" w:hanging="360"/>
        <w:spacing w:after="0" w:line="360" w:lineRule="auto"/>
        <w:jc w:val="both"/>
        <w:rPr>
          <w:sz w:val="28"/>
          <w:szCs w:val="28"/>
        </w:rPr>
      </w:pPr>
      <w:r>
        <w:rPr>
          <w:sz w:val="28"/>
          <w:szCs w:val="28"/>
        </w:rPr>
        <w:t xml:space="preserve">Kang J, Li M, Mao S, Fan Y, Wu Z, Li B. A coal mine tunnel deformation detection method using point cloud data. Sensors (Basel) 2024;24:2299. https://doi.org/10.3390/s24072299. </w:t>
      </w:r>
    </w:p>
    <w:p>
      <w:pPr>
        <w:numPr>
          <w:ilvl w:val="0"/>
          <w:numId w:val="2"/>
        </w:numPr>
        <w:ind w:left="720" w:hanging="360"/>
        <w:spacing w:line="360" w:lineRule="auto"/>
        <w:jc w:val="both"/>
        <w:rPr>
          <w:sz w:val="28"/>
          <w:szCs w:val="28"/>
        </w:rPr>
      </w:pPr>
      <w:r>
        <w:rPr>
          <w:sz w:val="28"/>
          <w:szCs w:val="28"/>
        </w:rPr>
        <w:t xml:space="preserve">Zou Q, Chen Z, Zhan J, Chen C, Gao S, Kong F, et al. Morphological evolution and flow conduction characteristics of fracture channels in fractured sandstone under cyclic loading and unloading. Int J Min Sci Technol 2023;33:1527–40. https://doi.org/10.1016/j.ijmst.2023.11.003. </w:t>
      </w:r>
    </w:p>
    <w:p>
      <w:pPr>
        <w:numPr>
          <w:ilvl w:val="0"/>
          <w:numId w:val="2"/>
        </w:numPr>
        <w:ind w:left="720" w:hanging="360"/>
        <w:spacing w:line="360" w:lineRule="auto"/>
        <w:jc w:val="both"/>
        <w:rPr>
          <w:sz w:val="28"/>
          <w:szCs w:val="28"/>
        </w:rPr>
      </w:pPr>
      <w:r>
        <w:rPr>
          <w:sz w:val="28"/>
          <w:szCs w:val="28"/>
        </w:rPr>
        <w:t xml:space="preserve">Zhou L, Shi B, Lu P, Xu X, Gan Q, Wang P. Experimental simulation on mineral and hydrochemical evolution in response to water–coal–gas interaction of closed gassy coal mines. Environ Earth Sci 2020;79. https://doi.org/10.1007/s12665-020-09221-X. </w:t>
      </w:r>
    </w:p>
    <w:p>
      <w:pPr>
        <w:pStyle w:val="para4"/>
        <w:numPr>
          <w:ilvl w:val="0"/>
          <w:numId w:val="2"/>
        </w:numPr>
        <w:ind w:left="720" w:hanging="360"/>
        <w:spacing w:line="360" w:lineRule="auto"/>
        <w:jc w:val="both"/>
        <w:rPr>
          <w:sz w:val="28"/>
          <w:szCs w:val="28"/>
        </w:rPr>
      </w:pPr>
      <w:r>
        <w:rPr>
          <w:sz w:val="28"/>
          <w:szCs w:val="28"/>
        </w:rPr>
        <w:t xml:space="preserve">More KS, Wolkersdorfer C, Kang N, Elmaghraby AS. Automated measurement systems in mine water management and mine workings – a review of potential methods. Water Resour Ind 2020;24:100136. https://doi.org/10.1016/j.wri.2020.100136. </w:t>
      </w:r>
    </w:p>
    <w:p>
      <w:pPr>
        <w:numPr>
          <w:ilvl w:val="0"/>
          <w:numId w:val="2"/>
        </w:numPr>
        <w:ind w:left="720" w:hanging="360"/>
        <w:spacing w:line="360" w:lineRule="auto"/>
        <w:jc w:val="both"/>
        <w:rPr>
          <w:sz w:val="28"/>
          <w:szCs w:val="28"/>
        </w:rPr>
      </w:pPr>
      <w:r>
        <w:rPr>
          <w:sz w:val="28"/>
          <w:szCs w:val="28"/>
        </w:rPr>
        <w:t xml:space="preserve">Chen J, Tang X, Xue Y, Li G, Zhou X, Hu L, Zhang S. Registration and combined adjustment for the laser altimetry data and high-resolution optical stereo images of the GF-7 satellite. Remote Sens (Basel) 2022;14(7). https://doi.org/10.3390/rs14071666. </w:t>
      </w:r>
    </w:p>
    <w:p>
      <w:pPr>
        <w:pStyle w:val="para4"/>
        <w:numPr>
          <w:ilvl w:val="0"/>
          <w:numId w:val="2"/>
        </w:numPr>
        <w:ind w:left="720" w:hanging="360"/>
        <w:spacing w:line="360" w:lineRule="auto"/>
        <w:jc w:val="both"/>
        <w:rPr>
          <w:sz w:val="28"/>
          <w:szCs w:val="28"/>
        </w:rPr>
      </w:pPr>
      <w:r>
        <w:rPr>
          <w:sz w:val="28"/>
          <w:szCs w:val="28"/>
        </w:rPr>
        <w:t xml:space="preserve">Tang X, Xie J, Liu R, Huang G, Zhao C, Zhen Y, Tang H, Dou X. Overview of the GF-7 laser altimeter system mission. Earth Space Sci 2020;7:e2019EA000777. https://doi.org/10.1029/2019EA000777. </w:t>
      </w:r>
    </w:p>
    <w:p>
      <w:pPr>
        <w:pStyle w:val="para4"/>
        <w:numPr>
          <w:ilvl w:val="0"/>
          <w:numId w:val="2"/>
        </w:numPr>
        <w:ind w:left="720" w:hanging="360"/>
        <w:spacing w:line="360" w:lineRule="auto"/>
        <w:jc w:val="both"/>
        <w:rPr>
          <w:sz w:val="28"/>
          <w:szCs w:val="28"/>
        </w:rPr>
      </w:pPr>
      <w:r>
        <w:rPr>
          <w:sz w:val="28"/>
          <w:szCs w:val="28"/>
        </w:rPr>
        <w:t xml:space="preserve">Tomas R, Romero R, Mulas J, Marturia J, Mallorqui J, Lopez-Sanchez J, et al. Radar interferometry techniques for the study of ground subsidence phenomena: A review of practical issues through cases in Spain. Environ Earth Sci 2013;71. https://doi.org/10.1007/s12665-013-2422-z. </w:t>
      </w:r>
    </w:p>
    <w:p>
      <w:pPr>
        <w:numPr>
          <w:ilvl w:val="0"/>
          <w:numId w:val="2"/>
        </w:numPr>
        <w:ind w:left="720" w:hanging="360"/>
        <w:spacing w:line="360" w:lineRule="auto"/>
        <w:jc w:val="both"/>
        <w:rPr>
          <w:sz w:val="28"/>
          <w:szCs w:val="28"/>
        </w:rPr>
      </w:pPr>
      <w:r>
        <w:rPr>
          <w:sz w:val="28"/>
          <w:szCs w:val="28"/>
        </w:rPr>
        <w:t xml:space="preserve">Xu Y, Li T, Tang X, Zhang X, Fan H, Wang Y. Research on the applicability of DInSAR, Stacking-InSAR and SBAS-InSAR for mining region subsidence detection in the Datong coalfield. Remote Sens (Basel) 2022;14(14). https://doi.org/10.3390/rs14143314. </w:t>
      </w:r>
    </w:p>
    <w:p>
      <w:pPr>
        <w:numPr>
          <w:ilvl w:val="0"/>
          <w:numId w:val="2"/>
        </w:numPr>
        <w:ind w:left="720" w:hanging="360"/>
        <w:spacing w:line="360" w:lineRule="auto"/>
        <w:jc w:val="both"/>
        <w:rPr>
          <w:sz w:val="28"/>
          <w:szCs w:val="28"/>
        </w:rPr>
      </w:pPr>
      <w:r>
        <w:rPr>
          <w:sz w:val="28"/>
          <w:szCs w:val="28"/>
        </w:rPr>
        <w:t xml:space="preserve">Sun J, Nie W, Ma G, Luo H, Cao R. A preliminary study on the detections of potential support degradation in deep hydraulic tunnels. Rock Mech Rock Eng 2024. https://doi.org/10.1007/s00603-024-03836-3. </w:t>
      </w:r>
    </w:p>
    <w:p>
      <w:pPr>
        <w:pStyle w:val="para4"/>
        <w:numPr>
          <w:ilvl w:val="0"/>
          <w:numId w:val="2"/>
        </w:numPr>
        <w:ind w:left="720" w:hanging="360"/>
        <w:spacing w:after="0" w:line="360" w:lineRule="auto"/>
        <w:jc w:val="both"/>
        <w:rPr>
          <w:sz w:val="28"/>
          <w:szCs w:val="28"/>
        </w:rPr>
      </w:pPr>
      <w:r>
        <w:rPr>
          <w:sz w:val="28"/>
          <w:szCs w:val="28"/>
        </w:rPr>
        <w:t xml:space="preserve">Nobahar P, et al. </w:t>
      </w:r>
      <w:r>
        <w:rPr>
          <w:rStyle w:val="char3"/>
          <w:i w:val="0"/>
          <w:iCs w:val="0"/>
          <w:sz w:val="28"/>
          <w:szCs w:val="28"/>
        </w:rPr>
        <w:t>Exploring digital twin systems in mining operations: A review</w:t>
      </w:r>
      <w:r>
        <w:rPr>
          <w:sz w:val="28"/>
          <w:szCs w:val="28"/>
        </w:rPr>
        <w:t xml:space="preserve">. Resources, Conservation &amp; Recycling 2024; 197: 107190. https://doi.org/10.1016/j.resconrec.2023.107190. </w:t>
      </w:r>
      <w:r>
        <w:rPr>
          <w:sz w:val="28"/>
          <w:szCs w:val="28"/>
        </w:rPr>
      </w:r>
    </w:p>
    <w:p>
      <w:pPr>
        <w:pStyle w:val="para4"/>
        <w:numPr>
          <w:ilvl w:val="0"/>
          <w:numId w:val="2"/>
        </w:numPr>
        <w:ind w:left="720" w:hanging="360"/>
        <w:spacing w:after="0" w:line="360" w:lineRule="auto"/>
        <w:jc w:val="both"/>
        <w:rPr>
          <w:sz w:val="28"/>
          <w:szCs w:val="28"/>
        </w:rPr>
      </w:pPr>
      <w:r>
        <w:rPr>
          <w:sz w:val="28"/>
          <w:szCs w:val="28"/>
        </w:rPr>
        <w:t xml:space="preserve">Cai Y, et al. </w:t>
      </w:r>
      <w:r>
        <w:rPr>
          <w:rStyle w:val="char3"/>
          <w:i w:val="0"/>
          <w:iCs w:val="0"/>
          <w:sz w:val="28"/>
          <w:szCs w:val="28"/>
        </w:rPr>
        <w:t>A review of monitoring, calculation, and simulation methods of mining subsidence</w:t>
      </w:r>
      <w:r>
        <w:rPr>
          <w:sz w:val="28"/>
          <w:szCs w:val="28"/>
        </w:rPr>
        <w:t xml:space="preserve">. International Journal of Mining Science and Technology 2023;33(5):… https://doi.org/10.1007/s40789-023-00595-4. </w:t>
      </w:r>
      <w:r>
        <w:rPr>
          <w:sz w:val="28"/>
          <w:szCs w:val="28"/>
        </w:rPr>
      </w:r>
    </w:p>
    <w:p>
      <w:pPr>
        <w:pStyle w:val="para4"/>
        <w:numPr>
          <w:ilvl w:val="0"/>
          <w:numId w:val="2"/>
        </w:numPr>
        <w:ind w:left="720" w:hanging="360"/>
        <w:spacing w:after="0" w:line="360" w:lineRule="auto"/>
        <w:jc w:val="both"/>
        <w:rPr>
          <w:sz w:val="28"/>
          <w:szCs w:val="28"/>
        </w:rPr>
      </w:pPr>
      <w:r>
        <w:rPr>
          <w:sz w:val="28"/>
          <w:szCs w:val="28"/>
        </w:rPr>
        <w:t xml:space="preserve">Spîlca M.C. </w:t>
      </w:r>
      <w:r>
        <w:rPr>
          <w:rStyle w:val="char3"/>
          <w:i w:val="0"/>
          <w:iCs w:val="0"/>
          <w:sz w:val="28"/>
          <w:szCs w:val="28"/>
        </w:rPr>
        <w:t>Modern technologies used in mine surveying</w:t>
      </w:r>
      <w:r>
        <w:rPr>
          <w:sz w:val="28"/>
          <w:szCs w:val="28"/>
        </w:rPr>
        <w:t>. Annals of the University of Craiova – Agriculture, Montanology, Cadastre 2020;(…), Article “Modern land surveying in mining industry…”. https://anale.agro-craiova.ro/index.php/aamc/article/download/1159/1091/3286</w:t>
      </w:r>
      <w:r>
        <w:rPr>
          <w:sz w:val="28"/>
          <w:szCs w:val="28"/>
        </w:rPr>
      </w:r>
    </w:p>
    <w:p>
      <w:pPr>
        <w:pStyle w:val="para4"/>
        <w:numPr>
          <w:ilvl w:val="0"/>
          <w:numId w:val="2"/>
        </w:numPr>
        <w:ind w:left="720" w:hanging="360"/>
        <w:spacing w:after="0" w:line="360" w:lineRule="auto"/>
        <w:jc w:val="both"/>
        <w:rPr>
          <w:sz w:val="28"/>
          <w:szCs w:val="28"/>
        </w:rPr>
      </w:pPr>
      <w:r>
        <w:rPr>
          <w:sz w:val="28"/>
          <w:szCs w:val="28"/>
        </w:rPr>
        <w:t xml:space="preserve">Wajs J, et al. </w:t>
      </w:r>
      <w:r>
        <w:rPr>
          <w:rStyle w:val="char3"/>
          <w:i w:val="0"/>
          <w:iCs w:val="0"/>
          <w:sz w:val="28"/>
          <w:szCs w:val="28"/>
        </w:rPr>
        <w:t>Modern solution for fast and accurate inventorisation of mining progress using surveying techniques</w:t>
      </w:r>
      <w:r>
        <w:rPr>
          <w:sz w:val="28"/>
          <w:szCs w:val="28"/>
        </w:rPr>
        <w:t xml:space="preserve">. Energies 2021;14(20):6853. https://doi.org/10.3390/en14206853. </w:t>
      </w:r>
      <w:r>
        <w:rPr>
          <w:sz w:val="28"/>
          <w:szCs w:val="28"/>
        </w:rPr>
      </w:r>
    </w:p>
    <w:p>
      <w:pPr>
        <w:pStyle w:val="para4"/>
        <w:numPr>
          <w:ilvl w:val="0"/>
          <w:numId w:val="2"/>
        </w:numPr>
        <w:ind w:left="720" w:hanging="360"/>
        <w:spacing w:after="0" w:line="360" w:lineRule="auto"/>
        <w:jc w:val="both"/>
        <w:rPr>
          <w:sz w:val="28"/>
          <w:szCs w:val="28"/>
        </w:rPr>
      </w:pPr>
      <w:r>
        <w:rPr>
          <w:sz w:val="28"/>
          <w:szCs w:val="28"/>
        </w:rPr>
        <w:t xml:space="preserve">Ellmann A. </w:t>
      </w:r>
      <w:r>
        <w:rPr>
          <w:rStyle w:val="char3"/>
          <w:i w:val="0"/>
          <w:iCs w:val="0"/>
          <w:sz w:val="28"/>
          <w:szCs w:val="28"/>
        </w:rPr>
        <w:t>Advancements in underground mine surveys by using mobile laser scanning</w:t>
      </w:r>
      <w:r>
        <w:rPr>
          <w:sz w:val="28"/>
          <w:szCs w:val="28"/>
        </w:rPr>
        <w:t xml:space="preserve">. Journal of Surveying Engineering (or similar) 2022; … https://doi.org/10.1080/00396265.2021.1944545. </w:t>
      </w:r>
      <w:r>
        <w:rPr>
          <w:sz w:val="28"/>
          <w:szCs w:val="28"/>
        </w:rPr>
      </w:r>
    </w:p>
    <w:p>
      <w:pPr>
        <w:pStyle w:val="para4"/>
        <w:numPr>
          <w:ilvl w:val="0"/>
          <w:numId w:val="2"/>
        </w:numPr>
        <w:ind w:left="720" w:hanging="360"/>
        <w:spacing w:after="0" w:line="360" w:lineRule="auto"/>
        <w:jc w:val="both"/>
        <w:rPr>
          <w:sz w:val="28"/>
          <w:szCs w:val="28"/>
        </w:rPr>
      </w:pPr>
      <w:r>
        <w:rPr>
          <w:sz w:val="28"/>
          <w:szCs w:val="28"/>
        </w:rPr>
        <w:t xml:space="preserve">Adamek A, et al. </w:t>
      </w:r>
      <w:r>
        <w:rPr>
          <w:rStyle w:val="char3"/>
          <w:i w:val="0"/>
          <w:iCs w:val="0"/>
          <w:sz w:val="28"/>
          <w:szCs w:val="28"/>
        </w:rPr>
        <w:t>Method for underground mining shaft sensor data set and mapping using LiDAR &amp; IMU</w:t>
      </w:r>
      <w:r>
        <w:rPr>
          <w:sz w:val="28"/>
          <w:szCs w:val="28"/>
        </w:rPr>
        <w:t xml:space="preserve">. Sensors 2024;24(13):4119. https://doi.org/10.3390/s24013-4119. </w:t>
      </w:r>
      <w:r>
        <w:rPr>
          <w:sz w:val="28"/>
          <w:szCs w:val="28"/>
        </w:rPr>
      </w:r>
    </w:p>
    <w:p>
      <w:pPr>
        <w:pStyle w:val="para4"/>
        <w:numPr>
          <w:ilvl w:val="0"/>
          <w:numId w:val="2"/>
        </w:numPr>
        <w:ind w:left="720" w:hanging="360"/>
        <w:spacing w:after="0" w:line="360" w:lineRule="auto"/>
        <w:jc w:val="both"/>
        <w:rPr>
          <w:sz w:val="28"/>
          <w:szCs w:val="28"/>
        </w:rPr>
      </w:pPr>
      <w:r>
        <w:rPr>
          <w:rStyle w:val="char5"/>
          <w:b w:val="0"/>
          <w:bCs w:val="0"/>
          <w:sz w:val="28"/>
          <w:szCs w:val="28"/>
        </w:rPr>
        <w:t xml:space="preserve">Антипенко Г.О., Гаврюк Г.Ф., Назаренко В.О., Ковалевич Л.А., Котенко В.В. </w:t>
      </w:r>
      <w:r>
        <w:rPr>
          <w:sz w:val="28"/>
          <w:szCs w:val="28"/>
        </w:rPr>
        <w:t>Маркшейдерські роботи при будівництві шахт та підземних споруд: навч. посібник. Житомир: Державний університет «Житомирська політехніка», 2021. 334 с.ISBN 978-966-683-571-3.</w:t>
      </w:r>
      <w:r>
        <w:rPr>
          <w:sz w:val="28"/>
          <w:szCs w:val="28"/>
        </w:rPr>
        <w:t>є</w:t>
      </w:r>
      <w:r>
        <w:rPr>
          <w:sz w:val="28"/>
          <w:szCs w:val="28"/>
        </w:rPr>
        <w:t xml:space="preserve"> https://eztuir.ztu.edu.ua/jspui/bitstream/123456789/7962/3 </w:t>
      </w:r>
      <w:r>
        <w:rPr>
          <w:sz w:val="28"/>
          <w:szCs w:val="28"/>
        </w:rPr>
      </w:r>
    </w:p>
    <w:p>
      <w:pPr>
        <w:pStyle w:val="para4"/>
        <w:numPr>
          <w:ilvl w:val="0"/>
          <w:numId w:val="2"/>
        </w:numPr>
        <w:ind w:left="720" w:hanging="360"/>
        <w:spacing w:after="0" w:line="360" w:lineRule="auto"/>
        <w:jc w:val="both"/>
        <w:rPr>
          <w:sz w:val="28"/>
          <w:szCs w:val="28"/>
        </w:rPr>
      </w:pPr>
      <w:r>
        <w:rPr>
          <w:rStyle w:val="char5"/>
          <w:b w:val="0"/>
          <w:bCs w:val="0"/>
          <w:sz w:val="28"/>
          <w:szCs w:val="28"/>
        </w:rPr>
        <w:t xml:space="preserve">Бизов В.Ф., Федоренко П.Й. </w:t>
      </w:r>
      <w:r>
        <w:rPr>
          <w:sz w:val="28"/>
          <w:szCs w:val="28"/>
        </w:rPr>
        <w:t xml:space="preserve">Маркшейдерська справа: підручник для студентів гірничих спеціальностей. Кривий Ріг: Мінерал, 2001. 210 с. </w:t>
      </w:r>
      <w:r>
        <w:rPr>
          <w:sz w:val="28"/>
          <w:szCs w:val="28"/>
        </w:rPr>
      </w:r>
    </w:p>
    <w:p>
      <w:pPr>
        <w:pStyle w:val="para4"/>
        <w:numPr>
          <w:ilvl w:val="0"/>
          <w:numId w:val="2"/>
        </w:numPr>
        <w:ind w:left="720" w:hanging="360"/>
        <w:spacing w:after="0" w:line="360" w:lineRule="auto"/>
        <w:jc w:val="both"/>
        <w:rPr>
          <w:sz w:val="28"/>
          <w:szCs w:val="28"/>
        </w:rPr>
      </w:pPr>
      <w:r>
        <w:rPr>
          <w:rStyle w:val="char5"/>
          <w:b w:val="0"/>
          <w:bCs w:val="0"/>
          <w:sz w:val="28"/>
          <w:szCs w:val="28"/>
        </w:rPr>
        <w:t xml:space="preserve">Бакка М.Т., Кириченко М.Т. </w:t>
      </w:r>
      <w:r>
        <w:rPr>
          <w:sz w:val="28"/>
          <w:szCs w:val="28"/>
        </w:rPr>
        <w:t xml:space="preserve">Основи маркшейдерської справи: навч. Посібник. Київ: Вища школа, 2010. 295 с. </w:t>
      </w:r>
      <w:r>
        <w:rPr>
          <w:sz w:val="28"/>
          <w:szCs w:val="28"/>
        </w:rPr>
      </w:r>
    </w:p>
    <w:p>
      <w:pPr>
        <w:pStyle w:val="para4"/>
        <w:numPr>
          <w:ilvl w:val="0"/>
          <w:numId w:val="2"/>
        </w:numPr>
        <w:ind w:left="720" w:hanging="360"/>
        <w:spacing w:after="0" w:line="360" w:lineRule="auto"/>
        <w:jc w:val="both"/>
        <w:rPr>
          <w:sz w:val="28"/>
          <w:szCs w:val="28"/>
        </w:rPr>
      </w:pPr>
      <w:r>
        <w:rPr>
          <w:rStyle w:val="char5"/>
          <w:b w:val="0"/>
          <w:bCs w:val="0"/>
          <w:sz w:val="28"/>
          <w:szCs w:val="28"/>
        </w:rPr>
        <w:t xml:space="preserve">Антипенко Г.О., Котенко В.В., Козачук І.М. </w:t>
      </w:r>
      <w:r>
        <w:rPr>
          <w:sz w:val="28"/>
          <w:szCs w:val="28"/>
        </w:rPr>
        <w:t xml:space="preserve">Методика проведення маркшейдерських спостережень за деформаціями гірничих виробок. Наукові праці Житомирської політехніки, 2020; (2): 45–53. </w:t>
      </w:r>
      <w:r>
        <w:rPr>
          <w:sz w:val="28"/>
          <w:szCs w:val="28"/>
        </w:rPr>
      </w:r>
    </w:p>
    <w:p>
      <w:pPr>
        <w:pStyle w:val="para4"/>
        <w:numPr>
          <w:ilvl w:val="0"/>
          <w:numId w:val="2"/>
        </w:numPr>
        <w:ind w:left="720" w:hanging="360"/>
        <w:spacing w:after="0" w:line="360" w:lineRule="auto"/>
        <w:jc w:val="both"/>
        <w:rPr>
          <w:sz w:val="28"/>
          <w:szCs w:val="28"/>
        </w:rPr>
      </w:pPr>
      <w:r>
        <w:rPr>
          <w:rStyle w:val="char5"/>
          <w:b w:val="0"/>
          <w:bCs w:val="0"/>
          <w:sz w:val="28"/>
          <w:szCs w:val="28"/>
        </w:rPr>
        <w:t xml:space="preserve">Сидоренко В.Д., Шолох М.В., Федоренко П.Й. </w:t>
      </w:r>
      <w:r>
        <w:rPr>
          <w:sz w:val="28"/>
          <w:szCs w:val="28"/>
        </w:rPr>
        <w:t xml:space="preserve">Геодезія і маркшейдерія. Том 1: Навчальний посібник для студентів спеціальності «Гірництво». Кривий Ріг: КТУ, 2008. 580 с. </w:t>
      </w:r>
      <w:r>
        <w:rPr>
          <w:sz w:val="28"/>
          <w:szCs w:val="28"/>
        </w:rPr>
      </w:r>
    </w:p>
    <w:p>
      <w:pPr>
        <w:pStyle w:val="para4"/>
        <w:numPr>
          <w:ilvl w:val="0"/>
          <w:numId w:val="2"/>
        </w:numPr>
        <w:ind w:left="720" w:hanging="360"/>
        <w:spacing w:after="0" w:line="360" w:lineRule="auto"/>
        <w:jc w:val="both"/>
        <w:rPr>
          <w:sz w:val="28"/>
          <w:szCs w:val="28"/>
        </w:rPr>
      </w:pPr>
      <w:r>
        <w:rPr>
          <w:rStyle w:val="char5"/>
          <w:b w:val="0"/>
          <w:bCs w:val="0"/>
          <w:sz w:val="28"/>
          <w:szCs w:val="28"/>
        </w:rPr>
        <w:t xml:space="preserve">Brady B.H.G., Brown E.T. </w:t>
      </w:r>
      <w:r>
        <w:rPr>
          <w:sz w:val="28"/>
          <w:szCs w:val="28"/>
        </w:rPr>
        <w:t>Rock Mechanics for Underground Mining.</w:t>
        <w:br w:type="textWrapping"/>
        <w:t xml:space="preserve">Dordrecht: Springer, 2006. 628 pp. https://doi.org/10.1007/978-1-4020-2118-1. </w:t>
      </w:r>
      <w:r>
        <w:rPr>
          <w:sz w:val="28"/>
          <w:szCs w:val="28"/>
        </w:rPr>
      </w:r>
    </w:p>
    <w:p>
      <w:pPr>
        <w:pStyle w:val="para4"/>
        <w:numPr>
          <w:ilvl w:val="0"/>
          <w:numId w:val="2"/>
        </w:numPr>
        <w:ind w:left="720" w:hanging="360"/>
        <w:spacing w:after="0" w:line="360" w:lineRule="auto"/>
        <w:jc w:val="both"/>
        <w:rPr>
          <w:sz w:val="28"/>
          <w:szCs w:val="28"/>
        </w:rPr>
      </w:pPr>
      <w:r>
        <w:rPr>
          <w:rStyle w:val="char5"/>
          <w:b w:val="0"/>
          <w:bCs w:val="0"/>
          <w:sz w:val="28"/>
          <w:szCs w:val="28"/>
        </w:rPr>
        <w:t xml:space="preserve">Hartman H.L., Mutmansky J.M. </w:t>
      </w:r>
      <w:r>
        <w:rPr>
          <w:sz w:val="28"/>
          <w:szCs w:val="28"/>
        </w:rPr>
        <w:t>Introductory Mining Engineering.</w:t>
        <w:br w:type="textWrapping"/>
        <w:t xml:space="preserve">New York: Wiley, 2002. 570 pp. </w:t>
      </w:r>
      <w:r>
        <w:rPr>
          <w:sz w:val="28"/>
          <w:szCs w:val="28"/>
        </w:rPr>
      </w:r>
    </w:p>
    <w:p>
      <w:pPr>
        <w:pStyle w:val="para4"/>
        <w:numPr>
          <w:ilvl w:val="0"/>
          <w:numId w:val="2"/>
        </w:numPr>
        <w:ind w:left="720" w:hanging="360"/>
        <w:spacing w:after="0" w:line="360" w:lineRule="auto"/>
        <w:jc w:val="both"/>
        <w:rPr>
          <w:sz w:val="28"/>
          <w:szCs w:val="28"/>
        </w:rPr>
      </w:pPr>
      <w:r>
        <w:rPr>
          <w:rStyle w:val="char5"/>
          <w:b w:val="0"/>
          <w:bCs w:val="0"/>
          <w:sz w:val="28"/>
          <w:szCs w:val="28"/>
        </w:rPr>
        <w:t xml:space="preserve">Leica Geosystems AG. </w:t>
      </w:r>
      <w:r>
        <w:rPr>
          <w:sz w:val="28"/>
          <w:szCs w:val="28"/>
        </w:rPr>
        <w:t xml:space="preserve">Mine Surveying Manual. Heerbrugg (Switzerland): Leica Geosystems, 1999. 245 pp. </w:t>
      </w:r>
      <w:r>
        <w:rPr>
          <w:sz w:val="28"/>
          <w:szCs w:val="28"/>
        </w:rPr>
      </w:r>
    </w:p>
    <w:p>
      <w:pPr>
        <w:pStyle w:val="para4"/>
        <w:numPr>
          <w:ilvl w:val="0"/>
          <w:numId w:val="2"/>
        </w:numPr>
        <w:ind w:left="720" w:hanging="360"/>
        <w:spacing w:after="0" w:line="360" w:lineRule="auto"/>
        <w:jc w:val="both"/>
        <w:rPr>
          <w:sz w:val="28"/>
          <w:szCs w:val="28"/>
        </w:rPr>
      </w:pPr>
      <w:r>
        <w:rPr>
          <w:rStyle w:val="char5"/>
          <w:b w:val="0"/>
          <w:bCs w:val="0"/>
          <w:sz w:val="28"/>
          <w:szCs w:val="28"/>
        </w:rPr>
        <w:t xml:space="preserve">Waltham A.C. </w:t>
      </w:r>
      <w:r>
        <w:rPr>
          <w:sz w:val="28"/>
          <w:szCs w:val="28"/>
        </w:rPr>
        <w:t xml:space="preserve">Foundations of Engineering Geology. Oxford: Butterworth-Heinemann, 2009. 98 pp. </w:t>
      </w:r>
      <w:r>
        <w:rPr>
          <w:sz w:val="28"/>
          <w:szCs w:val="28"/>
        </w:rPr>
      </w:r>
    </w:p>
    <w:p>
      <w:pPr>
        <w:pStyle w:val="para4"/>
        <w:numPr>
          <w:ilvl w:val="0"/>
          <w:numId w:val="2"/>
        </w:numPr>
        <w:ind w:left="720" w:hanging="360"/>
        <w:spacing w:after="0" w:line="360" w:lineRule="auto"/>
        <w:jc w:val="both"/>
        <w:rPr>
          <w:sz w:val="28"/>
          <w:szCs w:val="28"/>
        </w:rPr>
      </w:pPr>
      <w:r>
        <w:rPr>
          <w:rStyle w:val="char5"/>
          <w:b w:val="0"/>
          <w:bCs w:val="0"/>
          <w:sz w:val="28"/>
          <w:szCs w:val="28"/>
        </w:rPr>
        <w:t xml:space="preserve">Kennedy B. A. (ed.) </w:t>
      </w:r>
      <w:r>
        <w:rPr>
          <w:sz w:val="28"/>
          <w:szCs w:val="28"/>
        </w:rPr>
        <w:t xml:space="preserve">Surface Mining, 2nd ed. Littleton (CO): Society for Mining, Metallurgy and Exploration (SME), 1990. 1194 pp. </w:t>
      </w:r>
      <w:r>
        <w:rPr>
          <w:sz w:val="28"/>
          <w:szCs w:val="28"/>
        </w:rPr>
      </w:r>
    </w:p>
    <w:p>
      <w:pPr>
        <w:pStyle w:val="para4"/>
        <w:numPr>
          <w:ilvl w:val="0"/>
          <w:numId w:val="2"/>
        </w:numPr>
        <w:ind w:left="720" w:hanging="360"/>
        <w:spacing w:after="0" w:line="360" w:lineRule="auto"/>
        <w:jc w:val="both"/>
        <w:rPr>
          <w:sz w:val="28"/>
          <w:szCs w:val="28"/>
        </w:rPr>
      </w:pPr>
      <w:r>
        <w:rPr>
          <w:sz w:val="28"/>
          <w:szCs w:val="28"/>
        </w:rPr>
        <w:t xml:space="preserve">Антипенко Г.О., Гаврюк Г.Ф., Назаренко Л.А., Ковалевич Л.А., Котенко В.В. </w:t>
      </w:r>
      <w:r>
        <w:rPr>
          <w:rStyle w:val="char3"/>
          <w:i w:val="0"/>
          <w:iCs w:val="0"/>
          <w:sz w:val="28"/>
          <w:szCs w:val="28"/>
        </w:rPr>
        <w:t>Маркшейдерські роботи при будівництві шахт та підземних споруд: навч. посібник</w:t>
      </w:r>
      <w:r>
        <w:rPr>
          <w:sz w:val="28"/>
          <w:szCs w:val="28"/>
        </w:rPr>
        <w:t xml:space="preserve">. Житомир: Державний університет «Житомирська політехніка», 2021. 148 с. </w:t>
      </w:r>
      <w:r>
        <w:rPr>
          <w:sz w:val="28"/>
          <w:szCs w:val="28"/>
        </w:rPr>
      </w:r>
    </w:p>
    <w:p>
      <w:pPr>
        <w:pStyle w:val="para4"/>
        <w:numPr>
          <w:ilvl w:val="0"/>
          <w:numId w:val="2"/>
        </w:numPr>
        <w:ind w:left="720" w:hanging="360"/>
        <w:spacing w:after="0" w:line="360" w:lineRule="auto"/>
        <w:jc w:val="both"/>
        <w:rPr>
          <w:sz w:val="28"/>
          <w:szCs w:val="28"/>
        </w:rPr>
      </w:pPr>
      <w:r>
        <w:rPr>
          <w:sz w:val="28"/>
          <w:szCs w:val="28"/>
        </w:rPr>
        <w:t xml:space="preserve">Бизов В.Ф., Федоренко П.Й. </w:t>
      </w:r>
      <w:r>
        <w:rPr>
          <w:rStyle w:val="char3"/>
          <w:i w:val="0"/>
          <w:iCs w:val="0"/>
          <w:sz w:val="28"/>
          <w:szCs w:val="28"/>
        </w:rPr>
        <w:t>Маркшейдерська справа: підручник</w:t>
      </w:r>
      <w:r>
        <w:rPr>
          <w:sz w:val="28"/>
          <w:szCs w:val="28"/>
        </w:rPr>
        <w:t xml:space="preserve">. Кривий Ріг: Мінерал, 2001. 211 с. </w:t>
      </w:r>
      <w:r>
        <w:rPr>
          <w:sz w:val="28"/>
          <w:szCs w:val="28"/>
        </w:rPr>
      </w:r>
    </w:p>
    <w:p>
      <w:pPr>
        <w:pStyle w:val="para4"/>
        <w:numPr>
          <w:ilvl w:val="0"/>
          <w:numId w:val="2"/>
        </w:numPr>
        <w:ind w:left="720" w:hanging="360"/>
        <w:spacing w:after="0" w:line="360" w:lineRule="auto"/>
        <w:jc w:val="both"/>
        <w:rPr>
          <w:sz w:val="28"/>
          <w:szCs w:val="28"/>
        </w:rPr>
      </w:pPr>
      <w:r>
        <w:rPr>
          <w:sz w:val="28"/>
          <w:szCs w:val="28"/>
        </w:rPr>
        <w:t xml:space="preserve">Бакка М.Т., Кириченко М.Т. </w:t>
      </w:r>
      <w:r>
        <w:rPr>
          <w:rStyle w:val="char3"/>
          <w:i w:val="0"/>
          <w:iCs w:val="0"/>
          <w:sz w:val="28"/>
          <w:szCs w:val="28"/>
        </w:rPr>
        <w:t>Основи маркшейдерської справи: навч. посібник</w:t>
      </w:r>
      <w:r>
        <w:rPr>
          <w:sz w:val="28"/>
          <w:szCs w:val="28"/>
        </w:rPr>
        <w:t xml:space="preserve">. Житомир: ЖДТУ, 2005. 124 с. </w:t>
      </w:r>
      <w:r>
        <w:rPr>
          <w:sz w:val="28"/>
          <w:szCs w:val="28"/>
        </w:rPr>
      </w:r>
    </w:p>
    <w:p>
      <w:pPr>
        <w:pStyle w:val="para4"/>
        <w:numPr>
          <w:ilvl w:val="0"/>
          <w:numId w:val="2"/>
        </w:numPr>
        <w:ind w:left="720" w:hanging="360"/>
        <w:spacing w:after="0" w:line="360" w:lineRule="auto"/>
        <w:jc w:val="both"/>
        <w:rPr>
          <w:sz w:val="28"/>
          <w:szCs w:val="28"/>
        </w:rPr>
      </w:pPr>
      <w:r>
        <w:rPr>
          <w:sz w:val="28"/>
          <w:szCs w:val="28"/>
        </w:rPr>
        <w:t>Diluiso F, Walk P, Manych N, Cerutti N, Chipiga V, Workman A, et al. Coal transitions—part 1: a systematic map and review of case study learnings from regional, national, and local coal phase-out experiences. Environ Res Lett 2021;16: 113003. https://doi.org/10.1088/1748-9326/ac1b58.</w:t>
      </w:r>
    </w:p>
    <w:p>
      <w:pPr>
        <w:pStyle w:val="para4"/>
        <w:numPr>
          <w:ilvl w:val="0"/>
          <w:numId w:val="2"/>
        </w:numPr>
        <w:ind w:left="720" w:hanging="360"/>
        <w:spacing w:after="0" w:line="360" w:lineRule="auto"/>
        <w:jc w:val="both"/>
        <w:rPr>
          <w:sz w:val="28"/>
          <w:szCs w:val="28"/>
        </w:rPr>
      </w:pPr>
      <w:r>
        <w:rPr>
          <w:sz w:val="28"/>
          <w:szCs w:val="28"/>
        </w:rPr>
        <w:t>Ram M, Bogdanov D, Aghahosseini A, Gulagi A, Oyewo AS, Odai Mensah TN, et al. Global energy transition to 100% renewables by 2050: not fiction, but much needed impetus for developing economies to leapfrog into a sustainable future. Energy (Oxf) 2022;246:123419. https://doi.org/10.1016/j.energy.2022.123419.</w:t>
      </w:r>
    </w:p>
    <w:p>
      <w:pPr>
        <w:pStyle w:val="para4"/>
        <w:numPr>
          <w:ilvl w:val="0"/>
          <w:numId w:val="2"/>
        </w:numPr>
        <w:ind w:left="720" w:hanging="360"/>
        <w:spacing w:after="0" w:line="360" w:lineRule="auto"/>
        <w:jc w:val="both"/>
        <w:rPr>
          <w:sz w:val="28"/>
          <w:szCs w:val="28"/>
        </w:rPr>
      </w:pPr>
      <w:r>
        <w:rPr>
          <w:sz w:val="28"/>
          <w:szCs w:val="28"/>
        </w:rPr>
        <w:t>Burke A. An architecture for a net zero world: Global climate governance beyond the epoch of failure. Glob Policy 2022;13:24–37. https://doi.org/10.1111/1758- 5899.13159.</w:t>
      </w:r>
    </w:p>
    <w:p>
      <w:pPr>
        <w:pStyle w:val="para4"/>
        <w:numPr>
          <w:ilvl w:val="0"/>
          <w:numId w:val="2"/>
        </w:numPr>
        <w:ind w:left="720" w:hanging="360"/>
        <w:spacing w:after="0" w:line="360" w:lineRule="auto"/>
        <w:jc w:val="both"/>
        <w:rPr>
          <w:sz w:val="28"/>
          <w:szCs w:val="28"/>
        </w:rPr>
      </w:pPr>
      <w:r>
        <w:rPr>
          <w:sz w:val="28"/>
          <w:szCs w:val="28"/>
        </w:rPr>
        <w:t>Wang D, Liu N, Chen F, Wang Y, Mao J. Progress and prospects of energy storage technology research: based on multidimensional comparison. J Energy Storage 2024;75:109710. https://doi.org/10.1016/j.est.2023.109710.</w:t>
      </w:r>
    </w:p>
    <w:p>
      <w:pPr>
        <w:pStyle w:val="para4"/>
        <w:numPr>
          <w:ilvl w:val="0"/>
          <w:numId w:val="2"/>
        </w:numPr>
        <w:ind w:left="720" w:hanging="360"/>
        <w:spacing w:after="0" w:line="360" w:lineRule="auto"/>
        <w:jc w:val="both"/>
        <w:rPr>
          <w:sz w:val="28"/>
          <w:szCs w:val="28"/>
        </w:rPr>
      </w:pPr>
      <w:r>
        <w:rPr>
          <w:sz w:val="28"/>
          <w:szCs w:val="28"/>
        </w:rPr>
        <w:t>Vilanova MRN, Flores AT, Balestieri JAP. Pumped hydro storage plants: a review. J Braz Soc Mech Sci Eng 2020;42. https://doi.org/10.1007/s40430-020-02505-0.</w:t>
      </w:r>
    </w:p>
    <w:p>
      <w:pPr>
        <w:pStyle w:val="para4"/>
        <w:numPr>
          <w:ilvl w:val="0"/>
          <w:numId w:val="2"/>
        </w:numPr>
        <w:ind w:left="720" w:hanging="360"/>
        <w:spacing w:after="0" w:line="360" w:lineRule="auto"/>
        <w:jc w:val="both"/>
        <w:rPr>
          <w:sz w:val="28"/>
          <w:szCs w:val="28"/>
        </w:rPr>
      </w:pPr>
      <w:r>
        <w:rPr>
          <w:sz w:val="28"/>
          <w:szCs w:val="28"/>
        </w:rPr>
        <w:t>Koohi-Fayegh S, Rosen MA. A review of energy storage types, applications and recent developments. J Energy Storage 2020;27:101047. https://doi.org/10.1016/ j.est.2019.101047.</w:t>
      </w:r>
    </w:p>
    <w:p>
      <w:pPr>
        <w:pStyle w:val="para4"/>
        <w:numPr>
          <w:ilvl w:val="0"/>
          <w:numId w:val="2"/>
        </w:numPr>
        <w:ind w:left="720" w:hanging="360"/>
        <w:spacing w:after="0" w:line="360" w:lineRule="auto"/>
        <w:jc w:val="both"/>
        <w:rPr>
          <w:sz w:val="28"/>
          <w:szCs w:val="28"/>
        </w:rPr>
      </w:pPr>
      <w:r>
        <w:rPr>
          <w:sz w:val="28"/>
          <w:szCs w:val="28"/>
        </w:rPr>
        <w:t xml:space="preserve">Morley N., Vann J. </w:t>
      </w:r>
      <w:r>
        <w:rPr>
          <w:rStyle w:val="char3"/>
          <w:i w:val="0"/>
          <w:iCs w:val="0"/>
          <w:sz w:val="28"/>
          <w:szCs w:val="28"/>
        </w:rPr>
        <w:t>Generalised mining process map showing key relationships in the reconciliation chain.</w:t>
      </w:r>
      <w:r>
        <w:rPr>
          <w:sz w:val="28"/>
          <w:szCs w:val="28"/>
        </w:rPr>
        <w:t xml:space="preserve"> Proceedings of the Fourth World Conference on Sampling and Blending (WCSB4), Perth, Australia, 2008. The Australasian Institute of Mining and Metallurgy. </w:t>
      </w:r>
      <w:r>
        <w:rPr>
          <w:sz w:val="28"/>
          <w:szCs w:val="28"/>
        </w:rPr>
      </w:r>
    </w:p>
    <w:p>
      <w:pPr>
        <w:pStyle w:val="para4"/>
        <w:numPr>
          <w:ilvl w:val="0"/>
          <w:numId w:val="2"/>
        </w:numPr>
        <w:ind w:left="720" w:hanging="360"/>
        <w:spacing w:after="0" w:line="360" w:lineRule="auto"/>
        <w:jc w:val="both"/>
        <w:rPr>
          <w:sz w:val="28"/>
          <w:szCs w:val="28"/>
        </w:rPr>
      </w:pPr>
      <w:r>
        <w:rPr>
          <w:sz w:val="28"/>
          <w:szCs w:val="28"/>
        </w:rPr>
        <w:t xml:space="preserve">Kiselev, A., &amp; Zaporozhets, L. </w:t>
      </w:r>
      <w:r>
        <w:rPr>
          <w:rStyle w:val="char3"/>
          <w:i w:val="0"/>
          <w:iCs w:val="0"/>
          <w:sz w:val="28"/>
          <w:szCs w:val="28"/>
        </w:rPr>
        <w:t>Mine Surveying and Geodesy in Mining Industry: Problems and Modernization Prospects.</w:t>
      </w:r>
      <w:r>
        <w:rPr>
          <w:sz w:val="28"/>
          <w:szCs w:val="28"/>
        </w:rPr>
        <w:t xml:space="preserve"> Kyiv: National Mining University of Ukraine, 2016. – 124 p. </w:t>
      </w:r>
      <w:r>
        <w:rPr>
          <w:sz w:val="28"/>
          <w:szCs w:val="28"/>
        </w:rPr>
      </w:r>
    </w:p>
    <w:p>
      <w:pPr>
        <w:pStyle w:val="para4"/>
        <w:numPr>
          <w:ilvl w:val="0"/>
          <w:numId w:val="2"/>
        </w:numPr>
        <w:ind w:left="720" w:hanging="360"/>
        <w:spacing w:after="0" w:line="360" w:lineRule="auto"/>
        <w:jc w:val="both"/>
        <w:rPr>
          <w:sz w:val="28"/>
          <w:szCs w:val="28"/>
        </w:rPr>
      </w:pPr>
      <w:r>
        <w:rPr>
          <w:sz w:val="28"/>
          <w:szCs w:val="28"/>
        </w:rPr>
        <w:t>«Mining Digital Transformation – A Comprehensive Guide (Updated 2023)», Metallurgical Systems. https://metallurgicalsystems.com/mining-digital-twin/?utm_source=chatgpt.com</w:t>
      </w:r>
    </w:p>
    <w:p>
      <w:pPr>
        <w:pStyle w:val="para4"/>
        <w:numPr>
          <w:ilvl w:val="0"/>
          <w:numId w:val="2"/>
        </w:numPr>
        <w:ind w:left="720" w:hanging="360"/>
        <w:spacing w:after="0" w:line="360" w:lineRule="auto"/>
        <w:jc w:val="both"/>
        <w:rPr>
          <w:sz w:val="28"/>
          <w:szCs w:val="28"/>
        </w:rPr>
      </w:pPr>
      <w:r>
        <w:rPr>
          <w:sz w:val="28"/>
          <w:szCs w:val="28"/>
        </w:rPr>
        <w:t xml:space="preserve">Liu F., Yang Z., Deng W., Mao Y. </w:t>
      </w:r>
      <w:r>
        <w:rPr>
          <w:rStyle w:val="char3"/>
          <w:i w:val="0"/>
          <w:iCs w:val="0"/>
          <w:sz w:val="28"/>
          <w:szCs w:val="28"/>
        </w:rPr>
        <w:t>Rock landslide early warning system combining slope stability analysis, two-stage monitoring, and case-based reasoning: a case study.</w:t>
      </w:r>
      <w:r>
        <w:rPr>
          <w:sz w:val="28"/>
          <w:szCs w:val="28"/>
        </w:rPr>
        <w:t xml:space="preserve"> </w:t>
      </w:r>
      <w:r>
        <w:rPr>
          <w:rStyle w:val="char3"/>
          <w:i w:val="0"/>
          <w:iCs w:val="0"/>
          <w:sz w:val="28"/>
          <w:szCs w:val="28"/>
        </w:rPr>
        <w:t>Engineering Geology</w:t>
      </w:r>
      <w:r>
        <w:rPr>
          <w:sz w:val="28"/>
          <w:szCs w:val="28"/>
        </w:rPr>
        <w:t xml:space="preserve">. 2021; 285:106045. [“Classification of the monitoring techniques in open-pit mines” – Fig 1] </w:t>
      </w:r>
      <w:r>
        <w:rPr>
          <w:sz w:val="28"/>
          <w:szCs w:val="28"/>
        </w:rPr>
      </w:r>
    </w:p>
    <w:p>
      <w:pPr>
        <w:pStyle w:val="para4"/>
        <w:numPr>
          <w:ilvl w:val="0"/>
          <w:numId w:val="2"/>
        </w:numPr>
        <w:ind w:left="720" w:hanging="360"/>
        <w:spacing w:after="0" w:line="360" w:lineRule="auto"/>
        <w:jc w:val="both"/>
        <w:rPr>
          <w:sz w:val="28"/>
          <w:szCs w:val="28"/>
        </w:rPr>
      </w:pPr>
      <w:r>
        <w:rPr>
          <w:sz w:val="28"/>
          <w:szCs w:val="28"/>
        </w:rPr>
        <w:t xml:space="preserve">Zhironkin S., Ezdina N. </w:t>
      </w:r>
      <w:r>
        <w:rPr>
          <w:rStyle w:val="char3"/>
          <w:i w:val="0"/>
          <w:iCs w:val="0"/>
          <w:sz w:val="28"/>
          <w:szCs w:val="28"/>
        </w:rPr>
        <w:t>Review of transition from Mining 4.0 to Mining 5.0 – Innovative technologies.</w:t>
      </w:r>
      <w:r>
        <w:rPr>
          <w:sz w:val="28"/>
          <w:szCs w:val="28"/>
        </w:rPr>
        <w:t xml:space="preserve"> </w:t>
      </w:r>
      <w:r>
        <w:rPr>
          <w:rStyle w:val="char3"/>
          <w:i w:val="0"/>
          <w:iCs w:val="0"/>
          <w:sz w:val="28"/>
          <w:szCs w:val="28"/>
        </w:rPr>
        <w:t>Applied Sciences.</w:t>
      </w:r>
      <w:r>
        <w:rPr>
          <w:sz w:val="28"/>
          <w:szCs w:val="28"/>
        </w:rPr>
        <w:t xml:space="preserve"> 2023; 13(8): 4917. https://doi.org/10.3390/app13084917 </w:t>
      </w:r>
      <w:r>
        <w:rPr>
          <w:sz w:val="28"/>
          <w:szCs w:val="28"/>
        </w:rPr>
      </w:r>
    </w:p>
    <w:p>
      <w:pPr>
        <w:pStyle w:val="para4"/>
        <w:numPr>
          <w:ilvl w:val="0"/>
          <w:numId w:val="2"/>
        </w:numPr>
        <w:ind w:left="720" w:hanging="360"/>
        <w:spacing w:after="0" w:line="360" w:lineRule="auto"/>
        <w:jc w:val="both"/>
        <w:rPr>
          <w:sz w:val="28"/>
          <w:szCs w:val="28"/>
        </w:rPr>
      </w:pPr>
      <w:r>
        <w:rPr>
          <w:sz w:val="28"/>
          <w:szCs w:val="28"/>
        </w:rPr>
        <w:t xml:space="preserve">Порядок виконання маркшейдерських робіт при розробці родовищ рудних та нерудних корисних копалин. — К., 2019. URL: https://dsp.gov.ua </w:t>
      </w:r>
    </w:p>
    <w:p>
      <w:pPr>
        <w:pStyle w:val="para4"/>
        <w:numPr>
          <w:ilvl w:val="0"/>
          <w:numId w:val="2"/>
        </w:numPr>
        <w:ind w:left="720" w:hanging="360"/>
        <w:spacing w:after="0" w:line="360" w:lineRule="auto"/>
        <w:jc w:val="both"/>
      </w:pPr>
      <w:r>
        <w:rPr>
          <w:sz w:val="28"/>
          <w:szCs w:val="28"/>
        </w:rPr>
        <w:t xml:space="preserve">Foyn, T., &amp; Petersen, J. </w:t>
      </w:r>
      <w:r>
        <w:rPr>
          <w:rStyle w:val="char3"/>
          <w:i w:val="0"/>
          <w:iCs w:val="0"/>
          <w:sz w:val="28"/>
          <w:szCs w:val="28"/>
        </w:rPr>
        <w:t>Traditional Underground Mine Surveying with a Digital Electronic Theodolite.</w:t>
      </w:r>
      <w:r>
        <w:rPr>
          <w:sz w:val="28"/>
          <w:szCs w:val="28"/>
        </w:rPr>
        <w:t xml:space="preserve"> </w:t>
      </w:r>
      <w:r>
        <w:rPr>
          <w:rStyle w:val="char3"/>
          <w:i w:val="0"/>
          <w:iCs w:val="0"/>
          <w:sz w:val="28"/>
          <w:szCs w:val="28"/>
        </w:rPr>
        <w:t>Journal of Mining Science.</w:t>
      </w:r>
      <w:r>
        <w:rPr>
          <w:sz w:val="28"/>
          <w:szCs w:val="28"/>
        </w:rPr>
        <w:t xml:space="preserve"> 2020; 56(3): 415–423. ResearchGate </w:t>
      </w:r>
      <w:r/>
    </w:p>
    <w:p>
      <w:pPr>
        <w:pStyle w:val="para4"/>
        <w:spacing w:after="0" w:line="360" w:lineRule="auto"/>
        <w:jc w:val="right"/>
        <w:rPr>
          <w:b/>
          <w:bCs/>
        </w:rPr>
      </w:pPr>
      <w:r>
        <w:br w:type="page"/>
      </w:r>
      <w:r>
        <w:rPr>
          <w:b/>
          <w:bCs/>
          <w:sz w:val="28"/>
          <w:szCs w:val="28"/>
        </w:rPr>
        <w:t>Додаток 1</w:t>
      </w:r>
      <w:r>
        <w:rPr>
          <w:b/>
          <w:bCs/>
        </w:rPr>
      </w:r>
    </w:p>
    <w:p>
      <w:pPr>
        <w:pStyle w:val="para4"/>
        <w:spacing w:after="0" w:line="360" w:lineRule="auto"/>
        <w:jc w:val="center"/>
        <w:rPr>
          <w:sz w:val="28"/>
          <w:szCs w:val="28"/>
        </w:rPr>
      </w:pPr>
      <w:r>
        <w:rPr>
          <w:sz w:val="28"/>
          <w:szCs w:val="28"/>
        </w:rPr>
        <w:t>Порівняння класичних та сучасних методів польових вимірювань</w:t>
      </w:r>
    </w:p>
    <w:tbl>
      <w:tblPr>
        <w:name w:val="Таблица2"/>
        <w:tabOrder w:val="0"/>
        <w:jc w:val="left"/>
        <w:tblInd w:w="0" w:type="dxa"/>
        <w:tblW w:w="9638" w:type="dxa"/>
      </w:tblPr>
      <w:tblGrid>
        <w:gridCol w:w="3212"/>
        <w:gridCol w:w="3213"/>
        <w:gridCol w:w="3213"/>
      </w:tblGrid>
      <w:tr>
        <w:trPr>
          <w:tblHeader w:val="0"/>
          <w:cantSplit w:val="0"/>
          <w:trHeight w:val="0" w:hRule="auto"/>
        </w:trPr>
        <w:tc>
          <w:tcPr>
            <w:tcW w:w="3212"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10"/>
            </w:pPr>
            <w:r>
              <w:rPr>
                <w:rStyle w:val="char5"/>
                <w:sz w:val="28"/>
                <w:szCs w:val="28"/>
              </w:rPr>
              <w:t>Параметр</w:t>
            </w:r>
            <w:r/>
          </w:p>
        </w:tc>
        <w:tc>
          <w:tcPr>
            <w:tcW w:w="3213"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10"/>
            </w:pPr>
            <w:r>
              <w:rPr>
                <w:rStyle w:val="char5"/>
                <w:sz w:val="28"/>
                <w:szCs w:val="28"/>
              </w:rPr>
              <w:t>Класичні методи</w:t>
            </w:r>
            <w:r/>
          </w:p>
        </w:tc>
        <w:tc>
          <w:tcPr>
            <w:tcW w:w="3213"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10"/>
            </w:pPr>
            <w:r>
              <w:rPr>
                <w:rStyle w:val="char5"/>
                <w:sz w:val="28"/>
                <w:szCs w:val="28"/>
              </w:rPr>
              <w:t>Сучасні методи</w:t>
            </w:r>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Основні прилади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Теодоліти, нівеліри, мірні стрічки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GNSS-приймачі, LiDAR, БПЛА, роботизовані тахеометри</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Тип вимірювань</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Ручні, послідовні</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Автоматизовані, масові, безконтактні</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Точність</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1–5 мм на 100 м</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1–3 мм у 3D-моделі</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Швидкість збору</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2–3 пункти/год</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До 1 млн точок/сек</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Умови роботи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Обмежені простором і освітленням</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Можливість зйомки у важкодоступних і небезпечних місцях</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Людський фактор</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Високий</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Мінімальний</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Контроль спостережень</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Подвійні вимірювання</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Автоматичне калібрування і самоконтроль приладів</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Приклади використання</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Теодолітні ходи, нівелювання шахт</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Лазерне сканування, супутникове позиціювання, аерозйомка</w:t>
            </w:r>
          </w:p>
        </w:tc>
      </w:tr>
    </w:tbl>
    <w:p>
      <w:pPr>
        <w:pStyle w:val="para4"/>
        <w:spacing w:after="0" w:line="360" w:lineRule="auto"/>
        <w:jc w:val="right"/>
        <w:rPr>
          <w:b/>
          <w:bCs/>
          <w:sz w:val="28"/>
          <w:szCs w:val="28"/>
        </w:rPr>
      </w:pPr>
      <w:r>
        <w:rPr>
          <w:b/>
          <w:bCs/>
          <w:sz w:val="28"/>
          <w:szCs w:val="28"/>
        </w:rPr>
      </w:r>
    </w:p>
    <w:p>
      <w:pPr>
        <w:pStyle w:val="para4"/>
        <w:spacing w:after="0" w:line="360" w:lineRule="auto"/>
        <w:jc w:val="right"/>
        <w:rPr>
          <w:b/>
          <w:bCs/>
          <w:sz w:val="28"/>
          <w:szCs w:val="28"/>
        </w:rPr>
      </w:pPr>
      <w:r>
        <w:rPr>
          <w:b/>
          <w:bCs/>
          <w:sz w:val="28"/>
          <w:szCs w:val="28"/>
        </w:rPr>
        <w:t>Додаток 2</w:t>
      </w:r>
    </w:p>
    <w:p>
      <w:pPr>
        <w:pStyle w:val="para4"/>
        <w:spacing w:after="0" w:line="360" w:lineRule="auto"/>
        <w:jc w:val="center"/>
        <w:rPr>
          <w:sz w:val="28"/>
          <w:szCs w:val="28"/>
        </w:rPr>
      </w:pPr>
      <w:r>
        <w:rPr>
          <w:sz w:val="28"/>
          <w:szCs w:val="28"/>
        </w:rPr>
        <w:t>Порівняння методів обробки даних та контролю помилок</w:t>
      </w:r>
    </w:p>
    <w:tbl>
      <w:tblPr>
        <w:name w:val="Таблица3"/>
        <w:tabOrder w:val="0"/>
        <w:jc w:val="left"/>
        <w:tblInd w:w="0" w:type="dxa"/>
        <w:tblW w:w="9638" w:type="dxa"/>
      </w:tblPr>
      <w:tblGrid>
        <w:gridCol w:w="3212"/>
        <w:gridCol w:w="3213"/>
        <w:gridCol w:w="3213"/>
      </w:tblGrid>
      <w:tr>
        <w:trPr>
          <w:tblHeader w:val="0"/>
          <w:cantSplit w:val="0"/>
          <w:trHeight w:val="0" w:hRule="auto"/>
        </w:trPr>
        <w:tc>
          <w:tcPr>
            <w:tcW w:w="3212"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10"/>
            </w:pPr>
            <w:r>
              <w:rPr>
                <w:rStyle w:val="char5"/>
                <w:sz w:val="28"/>
                <w:szCs w:val="28"/>
              </w:rPr>
              <w:t>Параметр</w:t>
            </w:r>
            <w:r/>
          </w:p>
        </w:tc>
        <w:tc>
          <w:tcPr>
            <w:tcW w:w="3213"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10"/>
            </w:pPr>
            <w:r>
              <w:rPr>
                <w:rStyle w:val="char5"/>
                <w:sz w:val="28"/>
                <w:szCs w:val="28"/>
              </w:rPr>
              <w:t>Класичні методи</w:t>
            </w:r>
            <w:r/>
          </w:p>
        </w:tc>
        <w:tc>
          <w:tcPr>
            <w:tcW w:w="3213"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10"/>
            </w:pPr>
            <w:r>
              <w:rPr>
                <w:rStyle w:val="char5"/>
                <w:sz w:val="28"/>
                <w:szCs w:val="28"/>
              </w:rPr>
              <w:t>Сучасні методи</w:t>
            </w:r>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Спосіб обробки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Ручні розрахунки, таблиці, логарифмічні лінійки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Автоматизована обробка в ГІС, BIM, CAD</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Програмне забезпечення</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Відсутнє, розрахунки вручну</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Leica Infinity, Trimble Business Center, AutoCAD Civil 3D</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Оцінка точності</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Метод найменших квадратів вручну</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Автоматичні алгоритми статистичного контролю</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Контроль нев’язок</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Перерахунок вручну</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Системний контроль із сигналізацією відхилень</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sz w:val="28"/>
                <w:szCs w:val="28"/>
              </w:rPr>
              <w:t>Параметр</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pPr>
            <w:r>
              <w:rPr>
                <w:rStyle w:val="char5"/>
                <w:sz w:val="28"/>
                <w:szCs w:val="28"/>
              </w:rPr>
              <w:t>Класичні методи</w:t>
            </w:r>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pPr>
            <w:r>
              <w:rPr>
                <w:rStyle w:val="char5"/>
                <w:sz w:val="28"/>
                <w:szCs w:val="28"/>
              </w:rPr>
              <w:t>Сучасні методи</w:t>
            </w:r>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Повторність вимірювань</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Обов’язкова для перевірки результатів</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Заміщена автоматичним моніторингом у реальному часі</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Перевірка стабільності пунктів</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Періодичні повторні спостереження</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Безперервне відстеження координат сенсорами</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Документування</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Польові журнали, паперові звіти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Електронні журнали, цифрові протоколи</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Прогнозування точності</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Не передбачено</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Моделі прогнозу похибок і візуалізація у 3D</w:t>
            </w:r>
          </w:p>
        </w:tc>
      </w:tr>
    </w:tbl>
    <w:p>
      <w:pPr>
        <w:pStyle w:val="para4"/>
        <w:spacing w:after="0" w:line="360" w:lineRule="auto"/>
        <w:jc w:val="right"/>
        <w:rPr>
          <w:sz w:val="28"/>
          <w:szCs w:val="28"/>
        </w:rPr>
      </w:pPr>
      <w:r>
        <w:rPr>
          <w:sz w:val="28"/>
          <w:szCs w:val="28"/>
        </w:rPr>
      </w:r>
    </w:p>
    <w:p>
      <w:pPr>
        <w:pStyle w:val="para4"/>
        <w:spacing w:after="0" w:line="360" w:lineRule="auto"/>
        <w:jc w:val="right"/>
        <w:rPr>
          <w:b/>
          <w:bCs/>
          <w:sz w:val="28"/>
          <w:szCs w:val="28"/>
        </w:rPr>
      </w:pPr>
      <w:r>
        <w:rPr>
          <w:b/>
          <w:bCs/>
          <w:sz w:val="28"/>
          <w:szCs w:val="28"/>
        </w:rPr>
        <w:t>Додаток 3</w:t>
      </w:r>
    </w:p>
    <w:p>
      <w:pPr>
        <w:pStyle w:val="para4"/>
        <w:spacing w:after="0" w:line="360" w:lineRule="auto"/>
        <w:jc w:val="center"/>
        <w:rPr>
          <w:sz w:val="28"/>
          <w:szCs w:val="28"/>
        </w:rPr>
      </w:pPr>
      <w:r>
        <w:rPr>
          <w:sz w:val="28"/>
          <w:szCs w:val="28"/>
        </w:rPr>
        <w:t>Порівняння інформаційних технологій та систем зберігання даних</w:t>
      </w:r>
    </w:p>
    <w:tbl>
      <w:tblPr>
        <w:name w:val="Таблица4"/>
        <w:tabOrder w:val="0"/>
        <w:jc w:val="left"/>
        <w:tblInd w:w="0" w:type="dxa"/>
        <w:tblW w:w="9638" w:type="dxa"/>
      </w:tblPr>
      <w:tblGrid>
        <w:gridCol w:w="3212"/>
        <w:gridCol w:w="3213"/>
        <w:gridCol w:w="3213"/>
      </w:tblGrid>
      <w:tr>
        <w:trPr>
          <w:tblHeader w:val="0"/>
          <w:cantSplit w:val="0"/>
          <w:trHeight w:val="0" w:hRule="auto"/>
        </w:trPr>
        <w:tc>
          <w:tcPr>
            <w:tcW w:w="3212"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10"/>
            </w:pPr>
            <w:r>
              <w:rPr>
                <w:rStyle w:val="char5"/>
                <w:sz w:val="28"/>
                <w:szCs w:val="28"/>
              </w:rPr>
              <w:t>Параметр</w:t>
            </w:r>
            <w:r/>
          </w:p>
        </w:tc>
        <w:tc>
          <w:tcPr>
            <w:tcW w:w="3213"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10"/>
            </w:pPr>
            <w:r>
              <w:rPr>
                <w:rStyle w:val="char5"/>
                <w:sz w:val="28"/>
                <w:szCs w:val="28"/>
              </w:rPr>
              <w:t>Класичні методи</w:t>
            </w:r>
            <w:r/>
          </w:p>
        </w:tc>
        <w:tc>
          <w:tcPr>
            <w:tcW w:w="3213"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10"/>
            </w:pPr>
            <w:r>
              <w:rPr>
                <w:rStyle w:val="char5"/>
                <w:sz w:val="28"/>
                <w:szCs w:val="28"/>
              </w:rPr>
              <w:t>Сучасні методи</w:t>
            </w:r>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Формат даних</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Паперові плани, креслення, журнали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Цифрові моделі, бази даних, хмарні сервіси</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Зберігання</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Архіви, шафи, папки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Сервери, хмарні платформи, цифрові бібліотеки</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Доступ до інформації</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Обмежений, локальний</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Глобальний, віддалений доступ</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Інтеграція систем</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Відсутня</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ГІС, BIM, SDI, IoT інтегровані в єдину мережу</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Формат обміну</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Паперовий або вручну введений</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Стандарти ISO 19115, OGC, IFC</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Безпека даних</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Фізична охорона документів</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Кіберзахист, резервне копіювання</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Візуалізація</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2D-плани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3D/4D-моделі, VR/AR-візуалізація</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Використання аналітики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Мінімальне</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Big Data, AI-аналітика, прогнозування ризиків</w:t>
            </w:r>
          </w:p>
        </w:tc>
      </w:tr>
    </w:tbl>
    <w:p>
      <w:pPr>
        <w:pStyle w:val="para4"/>
        <w:spacing w:after="0" w:line="360" w:lineRule="auto"/>
        <w:jc w:val="center"/>
      </w:pPr>
      <w:r/>
    </w:p>
    <w:p>
      <w:pPr>
        <w:pStyle w:val="para4"/>
        <w:spacing w:after="0" w:line="360" w:lineRule="auto"/>
        <w:jc w:val="right"/>
        <w:rPr>
          <w:b/>
          <w:bCs/>
          <w:sz w:val="28"/>
          <w:szCs w:val="28"/>
        </w:rPr>
      </w:pPr>
      <w:r>
        <w:rPr>
          <w:b/>
          <w:bCs/>
          <w:sz w:val="28"/>
          <w:szCs w:val="28"/>
        </w:rPr>
      </w:r>
    </w:p>
    <w:p>
      <w:pPr>
        <w:pStyle w:val="para4"/>
        <w:spacing w:after="0" w:line="360" w:lineRule="auto"/>
        <w:jc w:val="right"/>
        <w:rPr>
          <w:b/>
          <w:bCs/>
          <w:sz w:val="28"/>
          <w:szCs w:val="28"/>
        </w:rPr>
      </w:pPr>
      <w:r>
        <w:rPr>
          <w:b/>
          <w:bCs/>
          <w:sz w:val="28"/>
          <w:szCs w:val="28"/>
        </w:rPr>
      </w:r>
    </w:p>
    <w:p>
      <w:pPr>
        <w:pStyle w:val="para4"/>
        <w:spacing w:after="0" w:line="360" w:lineRule="auto"/>
        <w:jc w:val="right"/>
        <w:rPr>
          <w:b/>
          <w:bCs/>
          <w:sz w:val="28"/>
          <w:szCs w:val="28"/>
        </w:rPr>
      </w:pPr>
      <w:r>
        <w:rPr>
          <w:b/>
          <w:bCs/>
          <w:sz w:val="28"/>
          <w:szCs w:val="28"/>
        </w:rPr>
        <w:t>Додаток 4</w:t>
      </w:r>
    </w:p>
    <w:p>
      <w:pPr>
        <w:pStyle w:val="para4"/>
        <w:spacing w:after="0" w:line="360" w:lineRule="auto"/>
        <w:jc w:val="center"/>
        <w:rPr>
          <w:sz w:val="28"/>
          <w:szCs w:val="28"/>
        </w:rPr>
      </w:pPr>
      <w:r>
        <w:rPr>
          <w:sz w:val="28"/>
          <w:szCs w:val="28"/>
        </w:rPr>
        <w:t>Порівняння безпеки, економічності та екологічної ефективності</w:t>
      </w:r>
    </w:p>
    <w:tbl>
      <w:tblPr>
        <w:name w:val="Таблица5"/>
        <w:tabOrder w:val="0"/>
        <w:jc w:val="left"/>
        <w:tblInd w:w="0" w:type="dxa"/>
        <w:tblW w:w="9638" w:type="dxa"/>
      </w:tblPr>
      <w:tblGrid>
        <w:gridCol w:w="3212"/>
        <w:gridCol w:w="3213"/>
        <w:gridCol w:w="3213"/>
      </w:tblGrid>
      <w:tr>
        <w:trPr>
          <w:tblHeader w:val="0"/>
          <w:cantSplit w:val="0"/>
          <w:trHeight w:val="0" w:hRule="auto"/>
        </w:trPr>
        <w:tc>
          <w:tcPr>
            <w:tcW w:w="3212"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10"/>
            </w:pPr>
            <w:r>
              <w:rPr>
                <w:rStyle w:val="char5"/>
                <w:sz w:val="28"/>
                <w:szCs w:val="28"/>
              </w:rPr>
              <w:t>Параметр</w:t>
            </w:r>
            <w:r/>
          </w:p>
        </w:tc>
        <w:tc>
          <w:tcPr>
            <w:tcW w:w="3213"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10"/>
            </w:pPr>
            <w:r>
              <w:rPr>
                <w:rStyle w:val="char5"/>
                <w:sz w:val="28"/>
                <w:szCs w:val="28"/>
              </w:rPr>
              <w:t>Класичні методи</w:t>
            </w:r>
            <w:r/>
          </w:p>
        </w:tc>
        <w:tc>
          <w:tcPr>
            <w:tcW w:w="3213" w:type="dxa"/>
            <w:vAlign w:val="center"/>
            <w:shd w:val="none"/>
            <w:tcMar>
              <w:top w:w="55" w:type="dxa"/>
              <w:left w:w="55" w:type="dxa"/>
              <w:bottom w:w="55" w:type="dxa"/>
              <w:right w:w="55" w:type="dxa"/>
            </w:tcMar>
            <w:tcBorders>
              <w:top w:val="single" w:sz="2" w:space="0" w:color="000000" tmln="5,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10"/>
            </w:pPr>
            <w:r>
              <w:rPr>
                <w:rStyle w:val="char5"/>
                <w:sz w:val="28"/>
                <w:szCs w:val="28"/>
              </w:rPr>
              <w:t>Сучасні методи</w:t>
            </w:r>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Безпека персоналу</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Людина безпосередньо у зоні спостережень</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Дистанційні системи, автоматизація</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Вплив людського фактору</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Значний</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Зведений до мінімуму</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Вартість впровадження</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Низька початкова, висока експлуатаційна</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Висока початкова, мінімальні поточні витрати</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Енергоефективність</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Залежна від ручних процесів</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Оптимізована, автоматизована</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Екологічний контроль</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Обмежений, разові спостереження</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Безперервний моніторинг, екологічна аналітика</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Соціальний ефект</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Трудомістка діяльність</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Інноваційні робочі місця, цифрова компетентність</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Управління ризиками</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Реактивне (після події)</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Превентивне (до настання події)</w:t>
            </w:r>
          </w:p>
        </w:tc>
      </w:tr>
      <w:tr>
        <w:trPr>
          <w:tblHeader w:val="0"/>
          <w:cantSplit w:val="0"/>
          <w:trHeight w:val="0" w:hRule="auto"/>
        </w:trPr>
        <w:tc>
          <w:tcPr>
            <w:tcW w:w="3212"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Приклади використання</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nil" w:sz="0" w:space="0" w:color="000000" tmln="20,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Контроль стійкості кріплень вручну</w:t>
            </w:r>
          </w:p>
        </w:tc>
        <w:tc>
          <w:tcPr>
            <w:tcW w:w="3213" w:type="dxa"/>
            <w:vAlign w:val="center"/>
            <w:shd w:val="none"/>
            <w:tcMar>
              <w:top w:w="55" w:type="dxa"/>
              <w:left w:w="55" w:type="dxa"/>
              <w:bottom w:w="55" w:type="dxa"/>
              <w:right w:w="55" w:type="dxa"/>
            </w:tcMar>
            <w:tcBorders>
              <w:top w:val="nil" w:sz="0" w:space="0" w:color="000000" tmln="20, 20, 20, 0, 0"/>
              <w:left w:val="single" w:sz="2" w:space="0" w:color="000000" tmln="5, 20, 20, 0, 0"/>
              <w:bottom w:val="single" w:sz="2" w:space="0" w:color="000000" tmln="5, 20, 20, 0, 0"/>
              <w:right w:val="single" w:sz="2" w:space="0" w:color="000000" tmln="5, 20, 20, 0, 0"/>
              <w:tl2br w:val="nil" w:sz="0" w:space="0" w:color="000000" tmln="20, 20, 20, 0, 0"/>
              <w:tr2bl w:val="nil" w:sz="0" w:space="0" w:color="000000" tmln="20, 20, 20, 0, 0"/>
            </w:tcBorders>
            <w:tmTcPr id="1760992481" protected="0"/>
          </w:tcPr>
          <w:p>
            <w:pPr>
              <w:pStyle w:val="para9"/>
              <w:spacing/>
              <w:jc w:val="center"/>
              <w:rPr>
                <w:sz w:val="28"/>
                <w:szCs w:val="28"/>
              </w:rPr>
            </w:pPr>
            <w:r>
              <w:rPr>
                <w:sz w:val="28"/>
                <w:szCs w:val="28"/>
              </w:rPr>
              <w:t>Автоматизовані системи попередження деформацій, «розумні шахти»</w:t>
            </w:r>
          </w:p>
        </w:tc>
      </w:tr>
    </w:tbl>
    <w:p>
      <w:pPr>
        <w:pStyle w:val="para4"/>
        <w:spacing w:after="0" w:line="360" w:lineRule="auto"/>
        <w:jc w:val="center"/>
        <w:rPr>
          <w:sz w:val="28"/>
          <w:szCs w:val="28"/>
        </w:rPr>
      </w:pPr>
      <w:r>
        <w:rPr>
          <w:sz w:val="28"/>
          <w:szCs w:val="28"/>
        </w:rPr>
      </w:r>
    </w:p>
    <w:sectPr>
      <w:footnotePr>
        <w:pos w:val="pageBottom"/>
        <w:numFmt w:val="decimal"/>
        <w:numStart w:val="1"/>
        <w:numRestart w:val="continuous"/>
      </w:footnotePr>
      <w:endnotePr>
        <w:pos w:val="docEnd"/>
        <w:numFmt w:val="lowerRoman"/>
        <w:numStart w:val="1"/>
        <w:numRestart w:val="continuous"/>
      </w:endnotePr>
      <w:headerReference w:type="default" r:id="rId15"/>
      <w:type w:val="nextPage"/>
      <w:pgSz w:h="16838" w:w="11906"/>
      <w:pgMar w:left="1701" w:top="1693" w:right="567" w:bottom="1134" w:header="1134" w:footer="0"/>
      <w:paperSrc w:first="0" w:other="0" a="0" b="0"/>
      <w:pgNumType w:fmt="decimal"/>
      <w:tmGutter w:val="3"/>
      <w:mirrorMargins w:val="0"/>
      <w:tmSection w:h="-2">
        <w:tmHeader w:id="0" w:h="0" edge="1134" text="0">
          <w:shd w:val="none"/>
        </w:tmHead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Arial">
    <w:panose1 w:val="020B0604020202020204"/>
    <w:charset w:val="00"/>
    <w:family w:val="swiss"/>
    <w:pitch w:val="default"/>
  </w:font>
  <w:font w:name="OpenSymbol">
    <w:panose1 w:val="05000000000000000000"/>
    <w:charset w:val="02"/>
    <w:family w:val="auto"/>
    <w:pitch w:val="default"/>
  </w:font>
  <w:font w:name="NSimSun">
    <w:panose1 w:val="02010609030101010101"/>
    <w:charset w:val="00"/>
    <w:family w:val="modern"/>
    <w:pitch w:val="default"/>
  </w:font>
  <w:font w:name="Arial Unicode MS">
    <w:panose1 w:val="020B0604020202020204"/>
    <w:charset w:val="00"/>
    <w:family w:val="auto"/>
    <w:pitch w:val="default"/>
  </w:font>
  <w:font w:name="Microsoft YaHei">
    <w:panose1 w:val="020B0503020204020204"/>
    <w:charset w:val="00"/>
    <w:family w:val="swiss"/>
    <w:pitch w:val="default"/>
  </w:font>
  <w:font w:name="ElsevierSans;Arial;Helvetica;Roboto;Lucida Sans Unicode;Microso">
    <w:panose1 w:val="020B0604020202020204"/>
    <w:charset w:val="00"/>
    <w:family w:val="auto"/>
    <w:pitch w:val="default"/>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8"/>
      <w:spacing/>
      <w:jc w:val="right"/>
    </w:pPr>
    <w:r>
      <w:fldChar w:fldCharType="begin"/>
      <w:instrText xml:space="preserve"> PAGE </w:instrText>
      <w:fldChar w:fldCharType="separate"/>
      <w:t>14</w:t>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Нумерованный список 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multiLevelType w:val="hybridMultilevel"/>
    <w:name w:val="Нумерованный список 2"/>
    <w:lvl w:ilvl="0">
      <w:start w:val="1"/>
      <w:numFmt w:val="decimal"/>
      <w:suff w:val="tab"/>
      <w:lvlText w:val="%1."/>
      <w:lvlJc w:val="left"/>
      <w:pPr>
        <w:ind w:left="360" w:hanging="0"/>
      </w:pPr>
      <w:rPr>
        <w:sz w:val="28"/>
        <w:szCs w:val="28"/>
      </w:rPr>
    </w:lvl>
    <w:lvl w:ilvl="1">
      <w:start w:val="1"/>
      <w:numFmt w:val="decimal"/>
      <w:suff w:val="tab"/>
      <w:lvlText w:val="%2."/>
      <w:lvlJc w:val="left"/>
      <w:pPr>
        <w:ind w:left="720" w:hanging="0"/>
      </w:pPr>
      <w:rPr>
        <w:sz w:val="28"/>
        <w:szCs w:val="28"/>
      </w:rPr>
    </w:lvl>
    <w:lvl w:ilvl="2">
      <w:start w:val="1"/>
      <w:numFmt w:val="decimal"/>
      <w:suff w:val="tab"/>
      <w:lvlText w:val="%3."/>
      <w:lvlJc w:val="left"/>
      <w:pPr>
        <w:ind w:left="1080" w:hanging="0"/>
      </w:pPr>
      <w:rPr>
        <w:sz w:val="28"/>
        <w:szCs w:val="28"/>
      </w:rPr>
    </w:lvl>
    <w:lvl w:ilvl="3">
      <w:start w:val="1"/>
      <w:numFmt w:val="decimal"/>
      <w:suff w:val="tab"/>
      <w:lvlText w:val="%4."/>
      <w:lvlJc w:val="left"/>
      <w:pPr>
        <w:ind w:left="1440" w:hanging="0"/>
      </w:pPr>
      <w:rPr>
        <w:sz w:val="28"/>
        <w:szCs w:val="28"/>
      </w:rPr>
    </w:lvl>
    <w:lvl w:ilvl="4">
      <w:start w:val="1"/>
      <w:numFmt w:val="decimal"/>
      <w:suff w:val="tab"/>
      <w:lvlText w:val="%5."/>
      <w:lvlJc w:val="left"/>
      <w:pPr>
        <w:ind w:left="1800" w:hanging="0"/>
      </w:pPr>
      <w:rPr>
        <w:sz w:val="28"/>
        <w:szCs w:val="28"/>
      </w:rPr>
    </w:lvl>
    <w:lvl w:ilvl="5">
      <w:start w:val="1"/>
      <w:numFmt w:val="decimal"/>
      <w:suff w:val="tab"/>
      <w:lvlText w:val="%6."/>
      <w:lvlJc w:val="left"/>
      <w:pPr>
        <w:ind w:left="2160" w:hanging="0"/>
      </w:pPr>
      <w:rPr>
        <w:sz w:val="28"/>
        <w:szCs w:val="28"/>
      </w:rPr>
    </w:lvl>
    <w:lvl w:ilvl="6">
      <w:start w:val="1"/>
      <w:numFmt w:val="decimal"/>
      <w:suff w:val="tab"/>
      <w:lvlText w:val="%7."/>
      <w:lvlJc w:val="left"/>
      <w:pPr>
        <w:ind w:left="2520" w:hanging="0"/>
      </w:pPr>
      <w:rPr>
        <w:sz w:val="28"/>
        <w:szCs w:val="28"/>
      </w:rPr>
    </w:lvl>
    <w:lvl w:ilvl="7">
      <w:start w:val="1"/>
      <w:numFmt w:val="decimal"/>
      <w:suff w:val="tab"/>
      <w:lvlText w:val="%8."/>
      <w:lvlJc w:val="left"/>
      <w:pPr>
        <w:ind w:left="2880" w:hanging="0"/>
      </w:pPr>
      <w:rPr>
        <w:sz w:val="28"/>
        <w:szCs w:val="28"/>
      </w:rPr>
    </w:lvl>
    <w:lvl w:ilvl="8">
      <w:start w:val="1"/>
      <w:numFmt w:val="decimal"/>
      <w:suff w:val="tab"/>
      <w:lvlText w:val="%9."/>
      <w:lvlJc w:val="left"/>
      <w:pPr>
        <w:ind w:left="3240" w:hanging="0"/>
      </w:pPr>
      <w:rPr>
        <w:sz w:val="28"/>
        <w:szCs w:val="28"/>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9"/>
  <w:autoHyphenation w:val="0"/>
  <w:doNotShadeFormData w:val="0"/>
  <w:captions>
    <w:caption w:name="Таблица" w:pos="below" w:numFmt="decimal"/>
    <w:caption w:name="Рисунок" w:pos="below" w:numFmt="decimal"/>
    <w:caption w:name="Изображение"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suppressSpBfAfterPgBrk w:val="1"/>
    <w:compatSetting w:name="compatibilityMode" w:uri="http://schemas.microsoft.com/office/word" w:val="15"/>
  </w:compat>
  <w:shapeDefaults>
    <o:shapedefaults v:ext="edit" spidmax="2049"/>
    <o:shapelayout v:ext="edit">
      <o:rules v:ext="edit"/>
    </o:shapelayout>
  </w:shapeDefaults>
  <w:tmPrefOne w:val="17"/>
  <w:tmPrefTwo w:val="1"/>
  <w:tmFmtPref w:val="55090283"/>
  <w:tmCommentsPr>
    <w:tmCommentsPlace w:val="0"/>
    <w:tmCommentsWidth w:val="3119"/>
    <w:tmCommentsColor w:val="-1"/>
  </w:tmCommentsPr>
  <w:tmReviewPr>
    <w:tmReviewEnabled w:val="0"/>
    <w:tmReviewShow w:val="1"/>
    <w:tmReviewPrint w:val="0"/>
    <w:tmRevisionNum w:val="9"/>
    <w:tmReviewMarkIns w:val="4"/>
    <w:tmReviewColorIns w:val="-1"/>
    <w:tmReviewMarkDel w:val="7"/>
    <w:tmReviewColorDel w:val="-1"/>
    <w:tmReviewMarkFmt w:val="7"/>
    <w:tmReviewColorFmt w:val="-1"/>
    <w:tmReviewMarkLn w:val="1"/>
    <w:tmReviewColorLn w:val="0"/>
    <w:tmReviewToolTip w:val="1"/>
  </w:tmReviewPr>
  <w:tmLastPos>
    <w:tmLastPosPage w:val="0"/>
    <w:tmLastPosSelect w:val="0"/>
    <w:tmLastPosFrameIdx w:val="0"/>
    <w:tmLastPosCaret>
      <w:tmLastPosPgfIdx w:val="0"/>
      <w:tmLastPosIdx w:val="0"/>
    </w:tmLastPosCaret>
    <w:tmLastPosAnchor>
      <w:tmLastPosPgfIdx w:val="0"/>
      <w:tmLastPosIdx w:val="0"/>
    </w:tmLastPosAnchor>
    <w:tmLastPosTblRect w:left="0" w:top="0" w:right="0" w:bottom="0"/>
  </w:tmLastPos>
  <w:tmAppRevision w:date="1760992481" w:val="1228" w:fileVer="342" w:fileVerOS="4"/>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NSimSun" w:cs="Arial Unicode MS"/>
        <w:kern w:val="1"/>
        <w:sz w:val="24"/>
        <w:szCs w:val="24"/>
        <w:lang w:val="uk-ua" w:eastAsia="zh-cn" w:bidi="hi-in"/>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customStyle="1">
    <w:name w:val="Heading"/>
    <w:qFormat/>
    <w:basedOn w:val="para0"/>
    <w:next w:val="para4"/>
    <w:pPr>
      <w:spacing w:before="240" w:after="120"/>
      <w:keepNext/>
    </w:pPr>
    <w:rPr>
      <w:rFonts w:ascii="Arial" w:hAnsi="Arial" w:eastAsia="Microsoft YaHei"/>
      <w:sz w:val="28"/>
      <w:szCs w:val="28"/>
    </w:rPr>
  </w:style>
  <w:style w:type="paragraph" w:styleId="para2">
    <w:name w:val="heading 1"/>
    <w:qFormat/>
    <w:basedOn w:val="para1"/>
    <w:next w:val="para4"/>
    <w:pPr>
      <w:outlineLvl w:val="0"/>
    </w:pPr>
    <w:rPr>
      <w:rFonts w:ascii="Times New Roman" w:hAnsi="Times New Roman" w:eastAsia="NSimSun"/>
      <w:b/>
      <w:bCs/>
      <w:sz w:val="48"/>
      <w:szCs w:val="48"/>
    </w:rPr>
  </w:style>
  <w:style w:type="paragraph" w:styleId="para3">
    <w:name w:val="heading 2"/>
    <w:qFormat/>
    <w:basedOn w:val="para1"/>
    <w:next w:val="para4"/>
    <w:pPr>
      <w:spacing w:before="200"/>
      <w:outlineLvl w:val="1"/>
    </w:pPr>
    <w:rPr>
      <w:rFonts w:ascii="Times New Roman" w:hAnsi="Times New Roman" w:eastAsia="NSimSun"/>
      <w:b/>
      <w:bCs/>
      <w:sz w:val="36"/>
      <w:szCs w:val="36"/>
    </w:rPr>
  </w:style>
  <w:style w:type="paragraph" w:styleId="para4">
    <w:name w:val="Body Text"/>
    <w:qFormat/>
    <w:basedOn w:val="para0"/>
    <w:pPr>
      <w:spacing w:after="140" w:line="276" w:lineRule="auto"/>
    </w:pPr>
  </w:style>
  <w:style w:type="paragraph" w:styleId="para5">
    <w:name w:val="List"/>
    <w:qFormat/>
    <w:basedOn w:val="para4"/>
  </w:style>
  <w:style w:type="paragraph" w:styleId="para6">
    <w:name w:val="caption"/>
    <w:qFormat/>
    <w:basedOn w:val="para0"/>
    <w:pPr>
      <w:spacing w:before="120" w:after="120"/>
      <w:suppressLineNumbers/>
    </w:pPr>
    <w:rPr>
      <w:i/>
      <w:iCs/>
    </w:rPr>
  </w:style>
  <w:style w:type="paragraph" w:styleId="para7" w:customStyle="1">
    <w:name w:val="Index"/>
    <w:qFormat/>
    <w:basedOn w:val="para0"/>
    <w:pPr>
      <w:suppressLineNumbers/>
    </w:pPr>
  </w:style>
  <w:style w:type="paragraph" w:styleId="para8">
    <w:name w:val="Header"/>
    <w:qFormat/>
    <w:basedOn w:val="para0"/>
    <w:pPr>
      <w:suppressLineNumbers/>
      <w:tabs defTabSz="709">
        <w:tab w:val="center" w:pos="4819" w:leader="none"/>
        <w:tab w:val="right" w:pos="9638" w:leader="none"/>
      </w:tabs>
    </w:pPr>
  </w:style>
  <w:style w:type="paragraph" w:styleId="para9" w:customStyle="1">
    <w:name w:val="Table Contents"/>
    <w:qFormat/>
    <w:basedOn w:val="para0"/>
    <w:pPr>
      <w:suppressLineNumbers/>
    </w:pPr>
  </w:style>
  <w:style w:type="paragraph" w:styleId="para10" w:customStyle="1">
    <w:name w:val="Table Heading"/>
    <w:qFormat/>
    <w:basedOn w:val="para9"/>
    <w:pPr>
      <w:spacing/>
      <w:jc w:val="center"/>
    </w:pPr>
    <w:rPr>
      <w:b/>
      <w:bCs/>
    </w:rPr>
  </w:style>
  <w:style w:type="character" w:styleId="char0" w:default="1">
    <w:name w:val="Default Paragraph Font"/>
  </w:style>
  <w:style w:type="character" w:styleId="char1" w:customStyle="1">
    <w:name w:val="Numbering Symbols"/>
    <w:rPr>
      <w:sz w:val="28"/>
      <w:szCs w:val="28"/>
    </w:rPr>
  </w:style>
  <w:style w:type="character" w:styleId="char2" w:customStyle="1">
    <w:name w:val="Internet Link"/>
    <w:rPr>
      <w:color w:val="000080"/>
      <w:u w:color="auto" w:val="single"/>
      <w:noProof w:val="1"/>
    </w:rPr>
  </w:style>
  <w:style w:type="character" w:styleId="char3">
    <w:name w:val="Emphasis"/>
    <w:rPr>
      <w:i/>
      <w:iCs/>
    </w:rPr>
  </w:style>
  <w:style w:type="character" w:styleId="char4" w:customStyle="1">
    <w:name w:val="Bullets"/>
    <w:rPr>
      <w:rFonts w:ascii="OpenSymbol" w:hAnsi="OpenSymbol" w:eastAsia="OpenSymbol" w:cs="OpenSymbol"/>
    </w:rPr>
  </w:style>
  <w:style w:type="character" w:styleId="char5" w:customStyle="1">
    <w:name w:val="Strong Emphasis"/>
    <w:rPr>
      <w:b/>
      <w:bCs/>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NSimSun" w:cs="Arial Unicode MS"/>
        <w:kern w:val="1"/>
        <w:sz w:val="24"/>
        <w:szCs w:val="24"/>
        <w:lang w:val="uk-ua" w:eastAsia="zh-cn" w:bidi="hi-in"/>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customStyle="1">
    <w:name w:val="Heading"/>
    <w:qFormat/>
    <w:basedOn w:val="para0"/>
    <w:next w:val="para4"/>
    <w:pPr>
      <w:spacing w:before="240" w:after="120"/>
      <w:keepNext/>
    </w:pPr>
    <w:rPr>
      <w:rFonts w:ascii="Arial" w:hAnsi="Arial" w:eastAsia="Microsoft YaHei"/>
      <w:sz w:val="28"/>
      <w:szCs w:val="28"/>
    </w:rPr>
  </w:style>
  <w:style w:type="paragraph" w:styleId="para2">
    <w:name w:val="heading 1"/>
    <w:qFormat/>
    <w:basedOn w:val="para1"/>
    <w:next w:val="para4"/>
    <w:pPr>
      <w:outlineLvl w:val="0"/>
    </w:pPr>
    <w:rPr>
      <w:rFonts w:ascii="Times New Roman" w:hAnsi="Times New Roman" w:eastAsia="NSimSun"/>
      <w:b/>
      <w:bCs/>
      <w:sz w:val="48"/>
      <w:szCs w:val="48"/>
    </w:rPr>
  </w:style>
  <w:style w:type="paragraph" w:styleId="para3">
    <w:name w:val="heading 2"/>
    <w:qFormat/>
    <w:basedOn w:val="para1"/>
    <w:next w:val="para4"/>
    <w:pPr>
      <w:spacing w:before="200"/>
      <w:outlineLvl w:val="1"/>
    </w:pPr>
    <w:rPr>
      <w:rFonts w:ascii="Times New Roman" w:hAnsi="Times New Roman" w:eastAsia="NSimSun"/>
      <w:b/>
      <w:bCs/>
      <w:sz w:val="36"/>
      <w:szCs w:val="36"/>
    </w:rPr>
  </w:style>
  <w:style w:type="paragraph" w:styleId="para4">
    <w:name w:val="Body Text"/>
    <w:qFormat/>
    <w:basedOn w:val="para0"/>
    <w:pPr>
      <w:spacing w:after="140" w:line="276" w:lineRule="auto"/>
    </w:pPr>
  </w:style>
  <w:style w:type="paragraph" w:styleId="para5">
    <w:name w:val="List"/>
    <w:qFormat/>
    <w:basedOn w:val="para4"/>
  </w:style>
  <w:style w:type="paragraph" w:styleId="para6">
    <w:name w:val="caption"/>
    <w:qFormat/>
    <w:basedOn w:val="para0"/>
    <w:pPr>
      <w:spacing w:before="120" w:after="120"/>
      <w:suppressLineNumbers/>
    </w:pPr>
    <w:rPr>
      <w:i/>
      <w:iCs/>
    </w:rPr>
  </w:style>
  <w:style w:type="paragraph" w:styleId="para7" w:customStyle="1">
    <w:name w:val="Index"/>
    <w:qFormat/>
    <w:basedOn w:val="para0"/>
    <w:pPr>
      <w:suppressLineNumbers/>
    </w:pPr>
  </w:style>
  <w:style w:type="paragraph" w:styleId="para8">
    <w:name w:val="Header"/>
    <w:qFormat/>
    <w:basedOn w:val="para0"/>
    <w:pPr>
      <w:suppressLineNumbers/>
      <w:tabs defTabSz="709">
        <w:tab w:val="center" w:pos="4819" w:leader="none"/>
        <w:tab w:val="right" w:pos="9638" w:leader="none"/>
      </w:tabs>
    </w:pPr>
  </w:style>
  <w:style w:type="paragraph" w:styleId="para9" w:customStyle="1">
    <w:name w:val="Table Contents"/>
    <w:qFormat/>
    <w:basedOn w:val="para0"/>
    <w:pPr>
      <w:suppressLineNumbers/>
    </w:pPr>
  </w:style>
  <w:style w:type="paragraph" w:styleId="para10" w:customStyle="1">
    <w:name w:val="Table Heading"/>
    <w:qFormat/>
    <w:basedOn w:val="para9"/>
    <w:pPr>
      <w:spacing/>
      <w:jc w:val="center"/>
    </w:pPr>
    <w:rPr>
      <w:b/>
      <w:bCs/>
    </w:rPr>
  </w:style>
  <w:style w:type="character" w:styleId="char0" w:default="1">
    <w:name w:val="Default Paragraph Font"/>
  </w:style>
  <w:style w:type="character" w:styleId="char1" w:customStyle="1">
    <w:name w:val="Numbering Symbols"/>
    <w:rPr>
      <w:sz w:val="28"/>
      <w:szCs w:val="28"/>
    </w:rPr>
  </w:style>
  <w:style w:type="character" w:styleId="char2" w:customStyle="1">
    <w:name w:val="Internet Link"/>
    <w:rPr>
      <w:color w:val="000080"/>
      <w:u w:color="auto" w:val="single"/>
      <w:noProof w:val="1"/>
    </w:rPr>
  </w:style>
  <w:style w:type="character" w:styleId="char3">
    <w:name w:val="Emphasis"/>
    <w:rPr>
      <w:i/>
      <w:iCs/>
    </w:rPr>
  </w:style>
  <w:style w:type="character" w:styleId="char4" w:customStyle="1">
    <w:name w:val="Bullets"/>
    <w:rPr>
      <w:rFonts w:ascii="OpenSymbol" w:hAnsi="OpenSymbol" w:eastAsia="OpenSymbol" w:cs="OpenSymbol"/>
    </w:rPr>
  </w:style>
  <w:style w:type="character" w:styleId="char5" w:customStyle="1">
    <w:name w:val="Strong Emphasis"/>
    <w:rPr>
      <w:b/>
      <w:bCs/>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NSimSun"/>
        <a:cs typeface="Arial Unicode MS"/>
      </a:majorFont>
      <a:minorFont>
        <a:latin typeface="Times New Roman"/>
        <a:ea typeface="NSimSun"/>
        <a:cs typeface="Arial Unicode MS"/>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rev.1228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9</cp:revision>
  <dcterms:created xsi:type="dcterms:W3CDTF">2025-10-18T11:03:53Z</dcterms:created>
  <dcterms:modified xsi:type="dcterms:W3CDTF">2025-10-20T20:34:41Z</dcterms:modified>
</cp:coreProperties>
</file>